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7780A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B7780A">
        <w:rPr>
          <w:b/>
        </w:rPr>
        <w:t>29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8D1E14" w:rsidP="00042BEA">
            <w:pPr>
              <w:tabs>
                <w:tab w:val="left" w:pos="284"/>
              </w:tabs>
              <w:spacing w:line="240" w:lineRule="exact"/>
            </w:pPr>
            <w:r w:rsidRPr="008D1E14">
              <w:t>Portre, peyzaj, natürmort ve betimsel sanat eser</w:t>
            </w:r>
            <w:r>
              <w:t>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D1E1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D1E14">
              <w:rPr>
                <w:bCs/>
              </w:rPr>
              <w:t>G.3.3.2. Portre, peyzaj, natürmort ve betimsel sanat eseri örneklerini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8D1E14" w:rsidRDefault="008D1E14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Nazmi Ziya’nın peyzajları, Mahmut Cüda ve Feyhaman Duran’ın natürmortları, Sami Yetik’in İstiklal Savaşı’nı konu edinen eserleri incelenir.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8D1E14" w:rsidP="008D1E14">
            <w:pPr>
              <w:autoSpaceDE w:val="0"/>
              <w:autoSpaceDN w:val="0"/>
              <w:adjustRightInd w:val="0"/>
            </w:pPr>
            <w:r>
              <w:t>Portre, peyzaj, natürmort ve betimsel sanat eserlerine örnek olarak Nazmi Ziya’nın peyzajları, Mahmut Cüda ve Feyhaman Duran’ın natürmortları, Sami Yetik’in İstiklâl Savaşı’nı konu edinen vb. eserler verilebilir.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7780A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87" w:rsidRDefault="00F13B87" w:rsidP="00161E3C">
      <w:r>
        <w:separator/>
      </w:r>
    </w:p>
  </w:endnote>
  <w:endnote w:type="continuationSeparator" w:id="0">
    <w:p w:rsidR="00F13B87" w:rsidRDefault="00F13B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87" w:rsidRDefault="00F13B87" w:rsidP="00161E3C">
      <w:r>
        <w:separator/>
      </w:r>
    </w:p>
  </w:footnote>
  <w:footnote w:type="continuationSeparator" w:id="0">
    <w:p w:rsidR="00F13B87" w:rsidRDefault="00F13B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80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13B8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31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33731-0947-40E5-94B8-58F485DE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2021-04-30T14:59:00Z</dcterms:created>
  <dcterms:modified xsi:type="dcterms:W3CDTF">2021-04-30T14:59:00Z</dcterms:modified>
</cp:coreProperties>
</file>