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04" w:rsidRDefault="00324504">
      <w:bookmarkStart w:id="0" w:name="_Hlk524395357"/>
    </w:p>
    <w:p w:rsidR="00324504" w:rsidRDefault="00324504"/>
    <w:p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C7FD4A7" wp14:editId="7F0E0A0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4504" w:rsidRDefault="00324504" w:rsidP="00324504"/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9604AC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9604AC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  <w:sectPr w:rsidR="009604AC" w:rsidSect="00324504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604AC" w:rsidRDefault="009604AC" w:rsidP="00324504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hAnsi="Arial" w:cs="Arial"/>
          <w:sz w:val="48"/>
          <w:szCs w:val="48"/>
        </w:rPr>
      </w:pP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9604AC" w:rsidRPr="009604AC" w:rsidRDefault="009604AC" w:rsidP="009604AC">
      <w:pPr>
        <w:jc w:val="center"/>
        <w:rPr>
          <w:rFonts w:ascii="Arial" w:eastAsia="Calibri" w:hAnsi="Arial" w:cs="Arial"/>
          <w:sz w:val="28"/>
          <w:szCs w:val="28"/>
        </w:rPr>
      </w:pPr>
    </w:p>
    <w:p w:rsidR="009604AC" w:rsidRPr="009604AC" w:rsidRDefault="009604AC" w:rsidP="009604AC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>DERS: HAYAT BİLGİSİ</w:t>
      </w:r>
    </w:p>
    <w:p w:rsidR="009604AC" w:rsidRPr="009604AC" w:rsidRDefault="009604AC" w:rsidP="009604AC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9604AC" w:rsidRPr="009604AC" w:rsidTr="00996060">
        <w:trPr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81" w:type="dxa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Okumuzda Hayat</w:t>
            </w:r>
          </w:p>
        </w:tc>
        <w:tc>
          <w:tcPr>
            <w:tcW w:w="1181" w:type="dxa"/>
            <w:vAlign w:val="center"/>
          </w:tcPr>
          <w:p w:rsidR="009604AC" w:rsidRPr="009604AC" w:rsidRDefault="009604AC" w:rsidP="0027745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  <w:r w:rsidR="00277459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418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 Kasım 2023</w:t>
            </w:r>
          </w:p>
        </w:tc>
        <w:tc>
          <w:tcPr>
            <w:tcW w:w="99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7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Evimizde Hayat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6 Kasım 2023</w:t>
            </w:r>
          </w:p>
        </w:tc>
        <w:tc>
          <w:tcPr>
            <w:tcW w:w="1418" w:type="dxa"/>
            <w:vAlign w:val="center"/>
          </w:tcPr>
          <w:p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9</w:t>
            </w:r>
            <w:r w:rsidRPr="009604AC">
              <w:rPr>
                <w:rFonts w:ascii="Arial" w:eastAsia="Calibri" w:hAnsi="Arial" w:cs="Arial"/>
              </w:rPr>
              <w:t xml:space="preserve"> Aralık 2023</w:t>
            </w:r>
          </w:p>
        </w:tc>
        <w:tc>
          <w:tcPr>
            <w:tcW w:w="992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997" w:type="dxa"/>
            <w:vAlign w:val="center"/>
          </w:tcPr>
          <w:p w:rsidR="009604AC" w:rsidRPr="009604AC" w:rsidRDefault="009604AC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1B2421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Sağlıklı Hayat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9604AC" w:rsidRPr="009604AC" w:rsidRDefault="001B2421" w:rsidP="001B2421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</w:t>
            </w:r>
            <w:r w:rsidR="009604AC" w:rsidRPr="009604AC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7" w:type="dxa"/>
            <w:vAlign w:val="center"/>
          </w:tcPr>
          <w:p w:rsidR="009604AC" w:rsidRPr="009604AC" w:rsidRDefault="001B2421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Güvenli Hayat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17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418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9604AC" w:rsidRPr="009604AC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992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Ülkemizde Hayat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17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8</w:t>
            </w:r>
            <w:r w:rsidRPr="009604AC">
              <w:rPr>
                <w:rFonts w:ascii="Arial" w:eastAsia="Calibri" w:hAnsi="Arial" w:cs="Arial"/>
              </w:rPr>
              <w:t xml:space="preserve"> Mart 2024</w:t>
            </w:r>
          </w:p>
        </w:tc>
        <w:tc>
          <w:tcPr>
            <w:tcW w:w="1418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9604AC" w:rsidRPr="009604AC">
              <w:rPr>
                <w:rFonts w:ascii="Arial" w:eastAsia="Calibri" w:hAnsi="Arial" w:cs="Arial"/>
              </w:rPr>
              <w:t xml:space="preserve"> Mayıs 2024</w:t>
            </w:r>
          </w:p>
        </w:tc>
        <w:tc>
          <w:tcPr>
            <w:tcW w:w="99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997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2</w:t>
            </w:r>
            <w:r w:rsidR="00EE1DE9">
              <w:rPr>
                <w:rFonts w:ascii="Arial" w:eastAsia="Calibri" w:hAnsi="Arial" w:cs="Arial"/>
              </w:rPr>
              <w:t>1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846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Doğada Hayat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17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  <w:r w:rsidR="009604AC" w:rsidRPr="009604AC">
              <w:rPr>
                <w:rFonts w:ascii="Arial" w:eastAsia="Calibri" w:hAnsi="Arial" w:cs="Arial"/>
              </w:rPr>
              <w:t xml:space="preserve"> Mayıs 2024</w:t>
            </w:r>
          </w:p>
        </w:tc>
        <w:tc>
          <w:tcPr>
            <w:tcW w:w="1418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7" w:type="dxa"/>
            <w:vAlign w:val="center"/>
          </w:tcPr>
          <w:p w:rsidR="009604AC" w:rsidRPr="009604AC" w:rsidRDefault="00EE1DE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9604AC" w:rsidRPr="009604AC" w:rsidTr="00996060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9604AC" w:rsidRPr="009604AC" w:rsidRDefault="00277459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2735" w:type="dxa"/>
            <w:gridSpan w:val="2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9604AC" w:rsidRPr="009604AC" w:rsidRDefault="009604AC" w:rsidP="009604AC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9604AC" w:rsidRPr="009604AC" w:rsidRDefault="009604AC" w:rsidP="00EE1DE9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</w:t>
            </w:r>
            <w:r w:rsidR="00EE1DE9">
              <w:rPr>
                <w:rFonts w:ascii="Arial" w:eastAsia="Calibri" w:hAnsi="Arial" w:cs="Arial"/>
              </w:rPr>
              <w:t>08</w:t>
            </w:r>
          </w:p>
        </w:tc>
      </w:tr>
    </w:tbl>
    <w:p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996060" w:rsidRPr="00523A61" w:rsidRDefault="002904B2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Kendimizi Keşfediyoruz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Davranışlarımın Etkileri</w:t>
            </w: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Davranış Uzmanı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Dost Dedektifi</w:t>
            </w: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Sınıfımın ve Okulumun Yeri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 xml:space="preserve">*Okuldaki </w:t>
            </w:r>
            <w:r w:rsidR="002904B2">
              <w:rPr>
                <w:rFonts w:ascii="Tahoma" w:hAnsi="Tahoma" w:cs="Tahoma"/>
                <w:sz w:val="16"/>
                <w:szCs w:val="16"/>
              </w:rPr>
              <w:t>Etkinliklerimiz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Birlik Olalım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Nasıl İfade Etsem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Tasarruflu Okul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Acaba Ne Olsam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Herkes Bir Zamanlar Çocuktu</w:t>
            </w:r>
          </w:p>
        </w:tc>
        <w:tc>
          <w:tcPr>
            <w:tcW w:w="1418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3B0AB9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996060" w:rsidRPr="00D95C9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71381" w:rsidRDefault="00324504" w:rsidP="00324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67650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Konu Komşu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996060" w:rsidRPr="000F3A2E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Evimiz</w:t>
            </w:r>
            <w:r w:rsidR="002904B2">
              <w:rPr>
                <w:rFonts w:ascii="Tahoma" w:hAnsi="Tahoma" w:cs="Tahoma"/>
                <w:sz w:val="16"/>
                <w:szCs w:val="16"/>
              </w:rPr>
              <w:t>in Yeri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Görev de Benim Sorumluluk da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Hayatımızı Kolaylaştıranlar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FE48EF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67650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Tasarruflu Ev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996060" w:rsidRPr="000F3A2E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Zamanı Yönetiyorum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04B2">
              <w:rPr>
                <w:rFonts w:ascii="Tahoma" w:hAnsi="Tahoma" w:cs="Tahoma"/>
                <w:sz w:val="16"/>
                <w:szCs w:val="16"/>
              </w:rPr>
              <w:t>Bütçemizi Koruyoruz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996060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–5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Kaynaklarımız Tükenmesin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Alışveriş Uzmanı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Mevsimin Güzel</w:t>
            </w: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Beslenme Saati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AF72BA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*Temizlik Her</w:t>
            </w:r>
            <w:r w:rsidR="002904B2">
              <w:rPr>
                <w:rFonts w:ascii="Tahoma" w:hAnsi="Tahoma" w:cs="Tahoma"/>
                <w:sz w:val="16"/>
                <w:szCs w:val="16"/>
              </w:rPr>
              <w:t>kes İçin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AF72BA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C69CA" w:rsidRDefault="008C69CA" w:rsidP="00932D32"/>
    <w:p w:rsidR="00996060" w:rsidRPr="00E854EE" w:rsidRDefault="00996060" w:rsidP="0099606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9D740D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996060" w:rsidRPr="00782E4F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Trafik İşaret ve Levhaları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996060" w:rsidRPr="00C76ED6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996060" w:rsidRDefault="002904B2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*Trafikte Kurallar Olmadan Asla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Kaza Bazen Geliyorum Der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212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277459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HB.3.4.4. Afet ve acil durum sonrasında yapılması gereken davranışları açıklar.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Afet ve Acil Durum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durumlarda tahliye yolu, çıkış kapıları, acil çıkışların nasıl kullanılacağı üzerinde durulur. Yaşadığı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459">
              <w:rPr>
                <w:rFonts w:ascii="Tahoma" w:hAnsi="Tahoma" w:cs="Tahoma"/>
                <w:sz w:val="16"/>
                <w:szCs w:val="16"/>
              </w:rPr>
              <w:t>yere en yakın toplanma alanlarının yeri belirtilir.</w:t>
            </w:r>
          </w:p>
          <w:p w:rsidR="00996060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277459">
              <w:rPr>
                <w:rFonts w:ascii="Tahoma" w:hAnsi="Tahoma" w:cs="Tahoma"/>
                <w:sz w:val="16"/>
                <w:szCs w:val="16"/>
              </w:rPr>
              <w:t>Acil Durum Bilgi Kartı hazırlatılır.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Kişisel Alanımız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Tehditler Karşısında Ben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Oyun Araçlarında Güvenlik</w:t>
            </w:r>
          </w:p>
        </w:tc>
        <w:tc>
          <w:tcPr>
            <w:tcW w:w="1418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18 - 22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996060" w:rsidRPr="00523A61" w:rsidRDefault="00996060" w:rsidP="002904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Kim Yönetir</w:t>
            </w:r>
          </w:p>
        </w:tc>
        <w:tc>
          <w:tcPr>
            <w:tcW w:w="1418" w:type="dxa"/>
            <w:vMerge w:val="restart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1B2421" w:rsidRDefault="001B2421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1B2421" w:rsidRDefault="001B2421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– 29 Mart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904B2">
              <w:rPr>
                <w:rFonts w:ascii="Tahoma" w:hAnsi="Tahoma" w:cs="Tahoma"/>
                <w:sz w:val="16"/>
                <w:szCs w:val="16"/>
              </w:rPr>
              <w:t>Yaşasın Cumhuriyet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40F87">
              <w:rPr>
                <w:rFonts w:ascii="Tahoma" w:hAnsi="Tahoma" w:cs="Tahoma"/>
                <w:sz w:val="16"/>
                <w:szCs w:val="16"/>
              </w:rPr>
              <w:t>Çevremdeki Güzellikler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47398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40F87">
              <w:rPr>
                <w:rFonts w:ascii="Tahoma" w:hAnsi="Tahoma" w:cs="Tahoma"/>
                <w:sz w:val="16"/>
                <w:szCs w:val="16"/>
              </w:rPr>
              <w:t>Ben Gelişirsem Ülkem Gelişir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*Ortak </w:t>
            </w:r>
            <w:r w:rsidR="00940F87">
              <w:rPr>
                <w:rFonts w:ascii="Tahoma" w:hAnsi="Tahoma" w:cs="Tahoma"/>
                <w:sz w:val="16"/>
                <w:szCs w:val="16"/>
              </w:rPr>
              <w:t>Kullanıyorsak Dikkat</w:t>
            </w:r>
          </w:p>
        </w:tc>
        <w:tc>
          <w:tcPr>
            <w:tcW w:w="1418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996060" w:rsidRPr="00214292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6060" w:rsidRPr="00C2667D" w:rsidTr="009960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996060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996060" w:rsidRPr="00523A61" w:rsidRDefault="00996060" w:rsidP="009960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996060" w:rsidRPr="00C2667D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96060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996060" w:rsidRPr="00523A61" w:rsidRDefault="00996060" w:rsidP="009960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996060" w:rsidRPr="00523A61" w:rsidRDefault="00940F87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*Birlikten Kuvvet Doğar</w:t>
            </w:r>
          </w:p>
        </w:tc>
        <w:tc>
          <w:tcPr>
            <w:tcW w:w="1418" w:type="dxa"/>
            <w:vAlign w:val="center"/>
          </w:tcPr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6060" w:rsidRPr="00EB45D5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996060" w:rsidRPr="00597537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97537" w:rsidRDefault="00996060" w:rsidP="0099606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6060" w:rsidRPr="00473984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96060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6060" w:rsidRPr="00523A61" w:rsidRDefault="00996060" w:rsidP="009960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40F87">
              <w:rPr>
                <w:rFonts w:ascii="Tahoma" w:hAnsi="Tahoma" w:cs="Tahoma"/>
                <w:sz w:val="16"/>
                <w:szCs w:val="16"/>
              </w:rPr>
              <w:t>Farklı Kültürler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Nisan– 03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*Büyük </w:t>
            </w:r>
            <w:r w:rsidR="00940F87">
              <w:rPr>
                <w:rFonts w:ascii="Tahoma" w:hAnsi="Tahoma" w:cs="Tahoma"/>
                <w:sz w:val="16"/>
                <w:szCs w:val="16"/>
              </w:rPr>
              <w:t>Önder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Atatürk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EA605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Ülkemize </w:t>
            </w:r>
            <w:r w:rsidR="00940F87">
              <w:rPr>
                <w:rFonts w:ascii="Tahoma" w:hAnsi="Tahoma" w:cs="Tahoma"/>
                <w:sz w:val="16"/>
                <w:szCs w:val="16"/>
              </w:rPr>
              <w:t>Katkı Sağlayanlar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Pr="00473984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277459" w:rsidRPr="00EA605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940F87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40F87">
              <w:rPr>
                <w:rFonts w:ascii="Tahoma" w:hAnsi="Tahoma" w:cs="Tahoma"/>
                <w:sz w:val="16"/>
                <w:szCs w:val="16"/>
              </w:rPr>
              <w:t>Önemliyiz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40F87">
              <w:rPr>
                <w:rFonts w:ascii="Tahoma" w:hAnsi="Tahoma" w:cs="Tahoma"/>
                <w:sz w:val="16"/>
                <w:szCs w:val="16"/>
              </w:rPr>
              <w:t>Tohumların Gücü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40F87">
              <w:rPr>
                <w:rFonts w:ascii="Tahoma" w:hAnsi="Tahoma" w:cs="Tahoma"/>
                <w:sz w:val="16"/>
                <w:szCs w:val="16"/>
              </w:rPr>
              <w:t>Yönümüzü Nasıl Buluruz?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B2421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C22A22" w:rsidRDefault="001B2421" w:rsidP="001B2421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940F87">
              <w:rPr>
                <w:rFonts w:ascii="Tahoma" w:hAnsi="Tahoma" w:cs="Tahoma"/>
                <w:sz w:val="16"/>
                <w:szCs w:val="16"/>
              </w:rPr>
              <w:t>İnsanların Etkisi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277459" w:rsidRPr="00C22A22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Pr="000C574B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Pr="000C574B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40F87">
              <w:rPr>
                <w:rFonts w:ascii="Tahoma" w:hAnsi="Tahoma" w:cs="Tahoma"/>
                <w:sz w:val="16"/>
                <w:szCs w:val="16"/>
              </w:rPr>
              <w:t>Temiz Hava, Temiz Su, Temiz Toprak</w:t>
            </w:r>
          </w:p>
        </w:tc>
        <w:tc>
          <w:tcPr>
            <w:tcW w:w="1418" w:type="dxa"/>
            <w:vMerge w:val="restart"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277459" w:rsidRPr="00597537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Pr="00597537" w:rsidRDefault="00277459" w:rsidP="002774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Yaşanabilir bir dünya için su, hava ve toprak gibi doğal kaynakların temiz tutulması, uygun kullanılması</w:t>
            </w:r>
          </w:p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ağaç dikilmesinin önemi üzerinde durulur. Ayrıca konuyla ilgilenen sivil toplum kuruluşları temel</w:t>
            </w:r>
          </w:p>
          <w:p w:rsidR="00277459" w:rsidRPr="00EA6052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021AD">
              <w:rPr>
                <w:rFonts w:ascii="Tahoma" w:hAnsi="Tahoma" w:cs="Tahoma"/>
                <w:sz w:val="16"/>
                <w:szCs w:val="16"/>
              </w:rPr>
              <w:t>düzeyde</w:t>
            </w:r>
            <w:proofErr w:type="gramEnd"/>
            <w:r w:rsidRPr="004021AD">
              <w:rPr>
                <w:rFonts w:ascii="Tahoma" w:hAnsi="Tahoma" w:cs="Tahoma"/>
                <w:sz w:val="16"/>
                <w:szCs w:val="16"/>
              </w:rPr>
              <w:t xml:space="preserve"> tanıtılır.</w:t>
            </w:r>
          </w:p>
        </w:tc>
        <w:tc>
          <w:tcPr>
            <w:tcW w:w="1559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7459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77459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277459" w:rsidRPr="00523A61" w:rsidRDefault="00277459" w:rsidP="002774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277459" w:rsidRPr="00523A61" w:rsidRDefault="00277459" w:rsidP="00940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940F87">
              <w:rPr>
                <w:rFonts w:ascii="Tahoma" w:hAnsi="Tahoma" w:cs="Tahoma"/>
                <w:sz w:val="16"/>
                <w:szCs w:val="16"/>
              </w:rPr>
              <w:t>Geri Dönüşümün Katkıları</w:t>
            </w:r>
          </w:p>
        </w:tc>
        <w:tc>
          <w:tcPr>
            <w:tcW w:w="1418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7459" w:rsidRPr="00EB45D5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021AD" w:rsidRPr="004021AD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</w:t>
            </w:r>
          </w:p>
          <w:p w:rsidR="00277459" w:rsidRPr="00EA6052" w:rsidRDefault="004021AD" w:rsidP="004021AD">
            <w:pPr>
              <w:rPr>
                <w:rFonts w:ascii="Tahoma" w:hAnsi="Tahoma" w:cs="Tahoma"/>
                <w:sz w:val="16"/>
                <w:szCs w:val="16"/>
              </w:rPr>
            </w:pPr>
            <w:r w:rsidRPr="004021AD">
              <w:rPr>
                <w:rFonts w:ascii="Tahoma" w:hAnsi="Tahoma" w:cs="Tahoma"/>
                <w:sz w:val="16"/>
                <w:szCs w:val="16"/>
              </w:rPr>
              <w:t>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021AD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277459" w:rsidRPr="00523A61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77459" w:rsidRDefault="00277459" w:rsidP="002774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*Değerlendirme Zamanı (sayfa 176)</w:t>
            </w:r>
          </w:p>
        </w:tc>
      </w:tr>
      <w:bookmarkEnd w:id="7"/>
    </w:tbl>
    <w:p w:rsidR="00904AB8" w:rsidRDefault="00904AB8" w:rsidP="00932D32"/>
    <w:p w:rsidR="001474C2" w:rsidRDefault="00CB690D" w:rsidP="00932D32">
      <w:r>
        <w:t>…………………….</w:t>
      </w:r>
      <w:bookmarkStart w:id="8" w:name="_GoBack"/>
      <w:bookmarkEnd w:id="8"/>
    </w:p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277459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24504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3E" w:rsidRDefault="00732A3E" w:rsidP="008D6516">
      <w:pPr>
        <w:spacing w:after="0" w:line="240" w:lineRule="auto"/>
      </w:pPr>
      <w:r>
        <w:separator/>
      </w:r>
    </w:p>
  </w:endnote>
  <w:endnote w:type="continuationSeparator" w:id="0">
    <w:p w:rsidR="00732A3E" w:rsidRDefault="00732A3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3E" w:rsidRDefault="00732A3E" w:rsidP="008D6516">
      <w:pPr>
        <w:spacing w:after="0" w:line="240" w:lineRule="auto"/>
      </w:pPr>
      <w:r>
        <w:separator/>
      </w:r>
    </w:p>
  </w:footnote>
  <w:footnote w:type="continuationSeparator" w:id="0">
    <w:p w:rsidR="00732A3E" w:rsidRDefault="00732A3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904B2" w:rsidRPr="009604AC" w:rsidTr="00996060">
      <w:trPr>
        <w:trHeight w:val="1124"/>
      </w:trPr>
      <w:tc>
        <w:tcPr>
          <w:tcW w:w="1560" w:type="dxa"/>
          <w:vAlign w:val="center"/>
        </w:tcPr>
        <w:p w:rsidR="002904B2" w:rsidRPr="009604AC" w:rsidRDefault="002904B2" w:rsidP="009604AC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BDF50CC" wp14:editId="312B730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904B2" w:rsidRPr="009604AC" w:rsidRDefault="002904B2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CB690D">
            <w:rPr>
              <w:rFonts w:ascii="Tahoma" w:hAnsi="Tahoma" w:cs="Tahoma"/>
            </w:rPr>
            <w:t>………………….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2904B2" w:rsidRPr="009604AC" w:rsidRDefault="002904B2" w:rsidP="009604AC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3</w:t>
          </w:r>
          <w:r w:rsidRPr="009604AC">
            <w:rPr>
              <w:rFonts w:ascii="Tahoma" w:hAnsi="Tahoma" w:cs="Tahoma"/>
            </w:rPr>
            <w:t>/A</w:t>
          </w:r>
        </w:p>
        <w:p w:rsidR="002904B2" w:rsidRPr="009604AC" w:rsidRDefault="002904B2" w:rsidP="00CB690D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CB690D">
            <w:rPr>
              <w:rFonts w:ascii="Tahoma" w:hAnsi="Tahoma" w:cs="Tahoma"/>
            </w:rPr>
            <w:t>………………………</w:t>
          </w:r>
          <w:proofErr w:type="gramEnd"/>
        </w:p>
      </w:tc>
      <w:tc>
        <w:tcPr>
          <w:tcW w:w="5387" w:type="dxa"/>
          <w:vAlign w:val="center"/>
        </w:tcPr>
        <w:p w:rsidR="002904B2" w:rsidRPr="009604AC" w:rsidRDefault="002904B2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2904B2" w:rsidRPr="009604AC" w:rsidRDefault="002904B2" w:rsidP="009604AC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HAYAT BİLGİSİ DERSİ</w:t>
          </w:r>
        </w:p>
        <w:p w:rsidR="002904B2" w:rsidRPr="009604AC" w:rsidRDefault="002904B2" w:rsidP="009604AC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904B2" w:rsidRPr="009604AC" w:rsidRDefault="002904B2" w:rsidP="009604AC">
          <w:pPr>
            <w:tabs>
              <w:tab w:val="center" w:pos="4536"/>
              <w:tab w:val="right" w:pos="9072"/>
            </w:tabs>
            <w:jc w:val="center"/>
          </w:pPr>
          <w:r w:rsidRPr="009604AC">
            <w:t>Ders Kitabı Yayınevi: MEB</w:t>
          </w:r>
        </w:p>
      </w:tc>
    </w:tr>
  </w:tbl>
  <w:p w:rsidR="002904B2" w:rsidRDefault="00290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008"/>
    <w:rsid w:val="00173483"/>
    <w:rsid w:val="00176F5A"/>
    <w:rsid w:val="0018251D"/>
    <w:rsid w:val="00196B02"/>
    <w:rsid w:val="001A46D7"/>
    <w:rsid w:val="001B2421"/>
    <w:rsid w:val="002075D0"/>
    <w:rsid w:val="00214292"/>
    <w:rsid w:val="002254AB"/>
    <w:rsid w:val="0022576D"/>
    <w:rsid w:val="002258C7"/>
    <w:rsid w:val="00232BBA"/>
    <w:rsid w:val="00277459"/>
    <w:rsid w:val="002904B2"/>
    <w:rsid w:val="002A5907"/>
    <w:rsid w:val="002B163D"/>
    <w:rsid w:val="002B4EC0"/>
    <w:rsid w:val="002B78AE"/>
    <w:rsid w:val="002C1537"/>
    <w:rsid w:val="002D038E"/>
    <w:rsid w:val="002D1C11"/>
    <w:rsid w:val="002E78C2"/>
    <w:rsid w:val="00324504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21AD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6C1EA6"/>
    <w:rsid w:val="007053EA"/>
    <w:rsid w:val="00716C03"/>
    <w:rsid w:val="007172DA"/>
    <w:rsid w:val="00732A3E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341E5"/>
    <w:rsid w:val="00940F87"/>
    <w:rsid w:val="00943BB5"/>
    <w:rsid w:val="009573F8"/>
    <w:rsid w:val="009604AC"/>
    <w:rsid w:val="009625D7"/>
    <w:rsid w:val="009857EE"/>
    <w:rsid w:val="00993F05"/>
    <w:rsid w:val="00996060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4BBB"/>
    <w:rsid w:val="00B6659C"/>
    <w:rsid w:val="00B8003B"/>
    <w:rsid w:val="00B83E6D"/>
    <w:rsid w:val="00B94450"/>
    <w:rsid w:val="00B94A0B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B690D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E1DE9"/>
    <w:rsid w:val="00EF68E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6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7612-77AD-4433-857A-83D4870B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Microsoft hesabı</cp:lastModifiedBy>
  <cp:revision>2</cp:revision>
  <dcterms:created xsi:type="dcterms:W3CDTF">2023-09-01T13:32:00Z</dcterms:created>
  <dcterms:modified xsi:type="dcterms:W3CDTF">2023-09-01T13:32:00Z</dcterms:modified>
</cp:coreProperties>
</file>