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77" w:rsidRDefault="00365277">
      <w:bookmarkStart w:id="0" w:name="_Hlk524395357"/>
    </w:p>
    <w:p w:rsidR="00365277" w:rsidRDefault="00365277"/>
    <w:p w:rsidR="00365277" w:rsidRPr="00BE0B1D" w:rsidRDefault="00365277" w:rsidP="00365277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137511D" wp14:editId="522FA77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331273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331273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  <w:sectPr w:rsidR="00331273" w:rsidSect="00365277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</w:p>
    <w:p w:rsidR="00331273" w:rsidRPr="00F46A03" w:rsidRDefault="00331273" w:rsidP="0033127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331273" w:rsidRPr="00F46A03" w:rsidRDefault="00331273" w:rsidP="0033127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2D4DA9" w:rsidRPr="00F46A03" w:rsidTr="002D4DA9">
        <w:trPr>
          <w:jc w:val="center"/>
        </w:trPr>
        <w:tc>
          <w:tcPr>
            <w:tcW w:w="127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2D4DA9" w:rsidRPr="002D4DA9" w:rsidRDefault="002D4DA9" w:rsidP="002D4DA9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2D4DA9" w:rsidRPr="008033B3" w:rsidRDefault="002D4DA9" w:rsidP="002D4DA9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Ekim</w:t>
            </w:r>
            <w:r w:rsidR="002D4DA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İşlem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Ekim</w:t>
            </w:r>
            <w:r w:rsidR="002D4DA9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Aralık 2023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Aralık 2023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4DA9">
              <w:rPr>
                <w:rFonts w:ascii="Arial" w:hAnsi="Arial" w:cs="Arial"/>
              </w:rPr>
              <w:t xml:space="preserve"> Şubat 2024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Şubat 2024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604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1EA">
              <w:rPr>
                <w:rFonts w:ascii="Arial" w:hAnsi="Arial" w:cs="Arial"/>
              </w:rPr>
              <w:t>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D4DA9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6</w:t>
            </w:r>
          </w:p>
        </w:tc>
      </w:tr>
      <w:tr w:rsidR="002D4DA9" w:rsidRPr="00F46A03" w:rsidTr="003C68B4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:rsidR="002D4DA9" w:rsidRPr="00F46A03" w:rsidRDefault="003C68B4" w:rsidP="003C68B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4210" w:type="dxa"/>
            <w:gridSpan w:val="2"/>
          </w:tcPr>
          <w:p w:rsidR="002D4DA9" w:rsidRPr="008D1543" w:rsidRDefault="002D4DA9" w:rsidP="002D4DA9"/>
        </w:tc>
        <w:tc>
          <w:tcPr>
            <w:tcW w:w="85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Pr="00545EF3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45EF3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DA4E47" w:rsidRPr="00545EF3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Pr="00545EF3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45EF3" w:rsidRDefault="00354FDC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 w:rsidRPr="00545EF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545EF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15221" w:rsidRPr="00545EF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45EF3" w:rsidRDefault="00915221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22F94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74DCC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Pr="00545EF3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45EF3" w:rsidRDefault="007053EA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14A8" w:rsidRPr="00545EF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545EF3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45EF3" w:rsidRDefault="00354FDC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15221" w:rsidRPr="00545EF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15221" w:rsidRPr="00545EF3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45EF3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5EF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 w:rsidRPr="00545EF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bookmarkStart w:id="1" w:name="_GoBack"/>
            <w:bookmarkEnd w:id="1"/>
          </w:p>
        </w:tc>
        <w:tc>
          <w:tcPr>
            <w:tcW w:w="2126" w:type="dxa"/>
            <w:vAlign w:val="center"/>
          </w:tcPr>
          <w:p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Birer, Onar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 Yüzer 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İleriye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1522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15221" w:rsidRPr="004C398B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15221" w:rsidRPr="006D42DD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915221" w:rsidRPr="007053EA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5221" w:rsidRPr="00913BE0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En Yakın Onluğa ve Yüzlüğe Yuvarlayalım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6D42DD" w:rsidP="009152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Yüzlük Tabloda Altışar, Yedişer, Sekizer ve Dokuzar İleriye Doğru 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890446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- EKİM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Sayı </w:t>
            </w:r>
            <w:r w:rsidR="00915221">
              <w:rPr>
                <w:rFonts w:ascii="Tahoma" w:hAnsi="Tahoma" w:cs="Tahoma"/>
                <w:sz w:val="16"/>
                <w:szCs w:val="16"/>
              </w:rPr>
              <w:t>Örüntüsü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D74DCC" w:rsidRPr="00523A61" w:rsidRDefault="00722F94" w:rsidP="00D74DCC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 xml:space="preserve">* Tek ve Çift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Sayılar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>Romen Rakamları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DA4E47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</w:t>
            </w:r>
          </w:p>
          <w:p w:rsidR="00835563" w:rsidRPr="00523A61" w:rsidRDefault="00C54BA3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İşleminde Toplananların Yerleri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74DCC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354FDC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4E4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915221">
              <w:rPr>
                <w:rFonts w:ascii="Tahoma" w:hAnsi="Tahoma" w:cs="Tahoma"/>
                <w:sz w:val="16"/>
                <w:szCs w:val="16"/>
              </w:rPr>
              <w:t>68</w:t>
            </w:r>
            <w:r w:rsidRPr="00C54BA3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54FDC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</w:t>
            </w:r>
            <w:r w:rsidR="00915221">
              <w:rPr>
                <w:rFonts w:ascii="Tahoma" w:hAnsi="Tahoma" w:cs="Tahoma"/>
                <w:sz w:val="16"/>
                <w:szCs w:val="16"/>
              </w:rPr>
              <w:t>ı Tahmin Edelim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5346D1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Yapalım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Ekim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Toplama İşleminde Verilmeyen Toplananı </w:t>
            </w:r>
            <w:r w:rsidR="00915221">
              <w:rPr>
                <w:rFonts w:ascii="Tahoma" w:hAnsi="Tahoma" w:cs="Tahoma"/>
                <w:sz w:val="16"/>
                <w:szCs w:val="16"/>
              </w:rPr>
              <w:t>Bulma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Toplama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2D4DA9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7D34F6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Çıkarma İşlemin</w:t>
            </w:r>
            <w:r w:rsidR="004678E9">
              <w:rPr>
                <w:rFonts w:ascii="Tahoma" w:hAnsi="Tahoma" w:cs="Tahoma"/>
                <w:sz w:val="16"/>
                <w:szCs w:val="16"/>
              </w:rPr>
              <w:t>de Farkı Tahmin Etme</w:t>
            </w:r>
          </w:p>
        </w:tc>
        <w:tc>
          <w:tcPr>
            <w:tcW w:w="1418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D34F6" w:rsidRPr="00523A61" w:rsidRDefault="007D34F6" w:rsidP="002D4D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2D4DA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7D34F6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Çıkarma İşlemini Kullanarak Problem Çözelim</w:t>
            </w:r>
          </w:p>
        </w:tc>
        <w:tc>
          <w:tcPr>
            <w:tcW w:w="1418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597537" w:rsidRPr="00AE024E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Çetele ve Sıklık Tablosu Oluşturalım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9924C7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Grafikleri Kullanarak Problem Çözelim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F1DB8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Tabloları Yorumlama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673E" w:rsidRDefault="00D74DCC" w:rsidP="008067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4678E9">
              <w:rPr>
                <w:rFonts w:ascii="Tahoma" w:hAnsi="Tahoma" w:cs="Tahoma"/>
                <w:sz w:val="16"/>
                <w:szCs w:val="16"/>
              </w:rPr>
              <w:t>105</w:t>
            </w:r>
            <w:r w:rsidR="005346D1" w:rsidRPr="005346D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F1DB8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İşleminin Kat Anlamı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4744FB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Çarpım Tablosu</w:t>
            </w: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565979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Doğal Sayılarla Çarpma İşlemi</w:t>
            </w:r>
          </w:p>
          <w:p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>10 ve 100 İle Kısa Yoldan Çarpma</w:t>
            </w:r>
            <w:r w:rsidR="004678E9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3075C" w:rsidP="005F1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F1D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İşleminde Çarpanların Arttırılıp Azaltılması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5F1DB8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823F96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823F96" w:rsidP="00467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678E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678E9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  <w:p w:rsidR="004678E9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78E9" w:rsidRPr="00523A61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Bölme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İşleminde Bölünen, Bölen, Bölüm ve Kalan Arasındaki İlişkiler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229DC" w:rsidRDefault="002229DC"/>
    <w:p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:rsidTr="00331273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:rsidTr="0033127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:rsidTr="0033127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:rsidTr="00331273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A4808" w:rsidRPr="00523A61" w:rsidRDefault="00823F96" w:rsidP="00823F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AA4808" w:rsidRPr="00565979" w:rsidRDefault="00AA4808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Bölme İşlemini Kullanarak Problem Çözelim</w:t>
            </w:r>
          </w:p>
        </w:tc>
        <w:tc>
          <w:tcPr>
            <w:tcW w:w="1418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678E9">
              <w:rPr>
                <w:rFonts w:ascii="Tahoma" w:hAnsi="Tahoma" w:cs="Tahoma"/>
                <w:sz w:val="16"/>
                <w:szCs w:val="16"/>
              </w:rPr>
              <w:t>44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Bütün, Yarım ve Çeyrek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 xml:space="preserve"> Modellerinin Kesirlerle Gösterimi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467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4678E9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:rsidR="002E062A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:rsidR="00C54BCA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  <w:p w:rsidR="002E062A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4C0EAC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678E9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  <w:p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15D0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Kesirleri Tanıyalım</w:t>
            </w:r>
          </w:p>
          <w:p w:rsidR="004C0EAC" w:rsidRPr="00090D64" w:rsidRDefault="004C0EAC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Paydası 10 ve 100 Olan Kesirler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  <w:p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E062A" w:rsidRDefault="002E062A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29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 w:rsidR="002E062A">
              <w:rPr>
                <w:rFonts w:ascii="Tahoma" w:hAnsi="Tahoma" w:cs="Tahoma"/>
                <w:sz w:val="16"/>
                <w:szCs w:val="16"/>
              </w:rPr>
              <w:t xml:space="preserve"> çokluğun</w:t>
            </w:r>
            <w:proofErr w:type="gramEnd"/>
            <w:r w:rsidR="002E062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E1710">
              <w:rPr>
                <w:rFonts w:ascii="Tahoma" w:hAnsi="Tahoma" w:cs="Tahoma"/>
                <w:sz w:val="16"/>
                <w:szCs w:val="16"/>
              </w:rPr>
              <w:t>belirtilen birim kesir kadarını belirler.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Bir Çokluğun Belirtilen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 Kadarını Bulma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 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D2115" w:rsidRPr="00090D64" w:rsidRDefault="00090D64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Kesirler Elde Edelim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:rsidR="00FD2115" w:rsidRPr="00523A61" w:rsidRDefault="00890446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Saati Öğrenelim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FD2115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Yıl-Hafta-Gün ve Dakika-Saniye Arasındaki İlişkiler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:rsidR="00FD2115" w:rsidRPr="00523A61" w:rsidRDefault="00FD2115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597537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Olayların Oluş Süreleri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Zaman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FD2115" w:rsidRPr="00214292" w:rsidRDefault="00890446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Paralarımızla İlgili Problem Çözelim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2E062A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A2557" w:rsidRPr="00523A61" w:rsidRDefault="008A2557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A2557" w:rsidRPr="003B110D" w:rsidRDefault="008A255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C0EAC">
              <w:rPr>
                <w:rFonts w:ascii="Tahoma" w:hAnsi="Tahoma" w:cs="Tahoma"/>
                <w:sz w:val="16"/>
                <w:szCs w:val="16"/>
              </w:rPr>
              <w:t>91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8EB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Pr="00523A61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>Küp, Dikdörtgen Prizma, Kare Prizma, Üçgen Prizma, Silindir, Koni, Küre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B28EB" w:rsidRPr="00C2667D" w:rsidTr="001B28EB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14713" w:type="dxa"/>
            <w:gridSpan w:val="8"/>
            <w:vAlign w:val="center"/>
          </w:tcPr>
          <w:p w:rsidR="001B28EB" w:rsidRPr="004758A4" w:rsidRDefault="001B28EB" w:rsidP="001B28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1B28EB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1B28EB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Dikdörtgen, Kare ve Üçgen Çizimleri</w:t>
            </w:r>
          </w:p>
          <w:p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Şekillerin Kenar Sayıları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Geometrik Örüntüler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021B66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3B779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B7798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30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 xml:space="preserve"> Doğru, Işın,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Açı</w:t>
            </w:r>
          </w:p>
          <w:p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B1867" w:rsidRPr="004C0EAC" w:rsidRDefault="002E4800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 xml:space="preserve">Ünite Değerlendirmesi (sayfa </w:t>
            </w:r>
            <w:r w:rsidR="004C0EAC">
              <w:rPr>
                <w:rFonts w:ascii="Tahoma" w:hAnsi="Tahoma" w:cs="Tahoma"/>
                <w:sz w:val="16"/>
                <w:szCs w:val="16"/>
              </w:rPr>
              <w:t>225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4C0E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4C0EA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C0EAC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  <w:p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EAC" w:rsidRPr="00523A61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Metre ve Santimetre Arasındaki İlişki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  <w:p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EAC" w:rsidRPr="0033701F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Cetveli Kullanalım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1867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Mayıs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Kilometrenin Kullanım Alanları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3701F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Uzunluk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33701F" w:rsidRPr="00523A61" w:rsidRDefault="0033701F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CD5299">
              <w:t xml:space="preserve">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Ölçme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9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65277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 xml:space="preserve">Şekillerin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Uzunluğu</w:t>
            </w:r>
          </w:p>
          <w:p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Hesapları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Mayıs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Hesaplamaları İle İlgili Problem Çözelim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B7798" w:rsidP="003B77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B7798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CD5299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Alan Ölçme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9"/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3C68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 Haziran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3C68B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C68B4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C68B4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68B4" w:rsidRPr="00523A61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890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3C68B4">
              <w:rPr>
                <w:rFonts w:ascii="Tahoma" w:hAnsi="Tahoma" w:cs="Tahoma"/>
                <w:sz w:val="16"/>
                <w:szCs w:val="16"/>
              </w:rPr>
              <w:t>64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96844" w:rsidRDefault="00196844" w:rsidP="00932D32"/>
    <w:p w:rsidR="00196844" w:rsidRDefault="007367F9" w:rsidP="00932D32">
      <w:r>
        <w:t>……………………….</w:t>
      </w:r>
    </w:p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0E4E8C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6527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09" w:rsidRDefault="00141D09" w:rsidP="008D6516">
      <w:pPr>
        <w:spacing w:after="0" w:line="240" w:lineRule="auto"/>
      </w:pPr>
      <w:r>
        <w:separator/>
      </w:r>
    </w:p>
  </w:endnote>
  <w:endnote w:type="continuationSeparator" w:id="0">
    <w:p w:rsidR="00141D09" w:rsidRDefault="00141D0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09" w:rsidRDefault="00141D09" w:rsidP="008D6516">
      <w:pPr>
        <w:spacing w:after="0" w:line="240" w:lineRule="auto"/>
      </w:pPr>
      <w:r>
        <w:separator/>
      </w:r>
    </w:p>
  </w:footnote>
  <w:footnote w:type="continuationSeparator" w:id="0">
    <w:p w:rsidR="00141D09" w:rsidRDefault="00141D0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15221" w:rsidTr="00331273">
      <w:trPr>
        <w:trHeight w:val="1124"/>
      </w:trPr>
      <w:tc>
        <w:tcPr>
          <w:tcW w:w="1560" w:type="dxa"/>
          <w:vAlign w:val="center"/>
        </w:tcPr>
        <w:p w:rsidR="00915221" w:rsidRDefault="00915221" w:rsidP="0033127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15D6E7F" wp14:editId="5864E576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915221" w:rsidRDefault="00915221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7367F9">
            <w:rPr>
              <w:rFonts w:ascii="Tahoma" w:hAnsi="Tahoma" w:cs="Tahoma"/>
            </w:rPr>
            <w:t>…………………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915221" w:rsidRDefault="00915221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915221" w:rsidRDefault="00915221" w:rsidP="007367F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7367F9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915221" w:rsidRPr="00D77AE1" w:rsidRDefault="00915221" w:rsidP="00331273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915221" w:rsidRPr="00D77AE1" w:rsidRDefault="00915221" w:rsidP="0033127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915221" w:rsidRDefault="00915221" w:rsidP="0033127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915221" w:rsidRDefault="00915221" w:rsidP="00915221">
          <w:pPr>
            <w:pStyle w:val="stbilgi"/>
            <w:jc w:val="center"/>
          </w:pPr>
          <w:r>
            <w:t xml:space="preserve">Ders Kitabı Yayınevi: </w:t>
          </w:r>
          <w:proofErr w:type="spellStart"/>
          <w:r>
            <w:t>Ekoyay</w:t>
          </w:r>
          <w:proofErr w:type="spellEnd"/>
        </w:p>
      </w:tc>
    </w:tr>
  </w:tbl>
  <w:p w:rsidR="00915221" w:rsidRDefault="009152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E4E8C"/>
    <w:rsid w:val="000F3A2E"/>
    <w:rsid w:val="000F6005"/>
    <w:rsid w:val="00102533"/>
    <w:rsid w:val="00112E6B"/>
    <w:rsid w:val="00122C21"/>
    <w:rsid w:val="00141D09"/>
    <w:rsid w:val="001474C2"/>
    <w:rsid w:val="00161DF8"/>
    <w:rsid w:val="00171442"/>
    <w:rsid w:val="00173483"/>
    <w:rsid w:val="00176F5A"/>
    <w:rsid w:val="00196844"/>
    <w:rsid w:val="00196B02"/>
    <w:rsid w:val="001A46D7"/>
    <w:rsid w:val="001B28EB"/>
    <w:rsid w:val="00214292"/>
    <w:rsid w:val="002229DC"/>
    <w:rsid w:val="0022576D"/>
    <w:rsid w:val="002258C7"/>
    <w:rsid w:val="00232BBA"/>
    <w:rsid w:val="002775D1"/>
    <w:rsid w:val="002B163D"/>
    <w:rsid w:val="002B78AE"/>
    <w:rsid w:val="002C1537"/>
    <w:rsid w:val="002D038E"/>
    <w:rsid w:val="002D4DA9"/>
    <w:rsid w:val="002E062A"/>
    <w:rsid w:val="002E19BC"/>
    <w:rsid w:val="002E4800"/>
    <w:rsid w:val="0032478C"/>
    <w:rsid w:val="00331273"/>
    <w:rsid w:val="0033701F"/>
    <w:rsid w:val="00342A40"/>
    <w:rsid w:val="00344919"/>
    <w:rsid w:val="00354FDC"/>
    <w:rsid w:val="003646A0"/>
    <w:rsid w:val="00365277"/>
    <w:rsid w:val="0038116E"/>
    <w:rsid w:val="0038362B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3B7798"/>
    <w:rsid w:val="003C68B4"/>
    <w:rsid w:val="004178B2"/>
    <w:rsid w:val="004275BD"/>
    <w:rsid w:val="00442677"/>
    <w:rsid w:val="0044464F"/>
    <w:rsid w:val="004678E9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0EAC"/>
    <w:rsid w:val="004C398B"/>
    <w:rsid w:val="00500F50"/>
    <w:rsid w:val="00501BF2"/>
    <w:rsid w:val="00523A61"/>
    <w:rsid w:val="00526CFC"/>
    <w:rsid w:val="005306DF"/>
    <w:rsid w:val="005346D1"/>
    <w:rsid w:val="00536C7E"/>
    <w:rsid w:val="00541964"/>
    <w:rsid w:val="005452E2"/>
    <w:rsid w:val="00545EF3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54BF"/>
    <w:rsid w:val="00597537"/>
    <w:rsid w:val="005C2161"/>
    <w:rsid w:val="005C4DA7"/>
    <w:rsid w:val="005C5200"/>
    <w:rsid w:val="005C7837"/>
    <w:rsid w:val="005E3644"/>
    <w:rsid w:val="005E5ABA"/>
    <w:rsid w:val="005F18CC"/>
    <w:rsid w:val="005F1DB8"/>
    <w:rsid w:val="005F43DE"/>
    <w:rsid w:val="006041EA"/>
    <w:rsid w:val="00614495"/>
    <w:rsid w:val="00622F1F"/>
    <w:rsid w:val="0064218B"/>
    <w:rsid w:val="00656706"/>
    <w:rsid w:val="006712F9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367F9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3F96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90446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15221"/>
    <w:rsid w:val="00921387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A4808"/>
    <w:rsid w:val="00AB6322"/>
    <w:rsid w:val="00AE024E"/>
    <w:rsid w:val="00AF4A87"/>
    <w:rsid w:val="00B03A5D"/>
    <w:rsid w:val="00B06A79"/>
    <w:rsid w:val="00B071FB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ACB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D5299"/>
    <w:rsid w:val="00CE04A2"/>
    <w:rsid w:val="00CF2C8F"/>
    <w:rsid w:val="00D034F0"/>
    <w:rsid w:val="00D22460"/>
    <w:rsid w:val="00D26189"/>
    <w:rsid w:val="00D53743"/>
    <w:rsid w:val="00D7137E"/>
    <w:rsid w:val="00D74626"/>
    <w:rsid w:val="00D74DCC"/>
    <w:rsid w:val="00D77AE1"/>
    <w:rsid w:val="00D93DCB"/>
    <w:rsid w:val="00D94632"/>
    <w:rsid w:val="00DA4E47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314A8"/>
    <w:rsid w:val="00F6044D"/>
    <w:rsid w:val="00F858E5"/>
    <w:rsid w:val="00F9580F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F8AD-012F-4242-A502-25D2B0CA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4</cp:revision>
  <dcterms:created xsi:type="dcterms:W3CDTF">2023-08-21T05:44:00Z</dcterms:created>
  <dcterms:modified xsi:type="dcterms:W3CDTF">2023-09-02T09:53:00Z</dcterms:modified>
</cp:coreProperties>
</file>