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93A3C">
        <w:rPr>
          <w:b/>
        </w:rPr>
        <w:t>1</w:t>
      </w:r>
      <w:r w:rsidR="00410774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10774" w:rsidP="00042BEA">
            <w:pPr>
              <w:spacing w:line="220" w:lineRule="exact"/>
            </w:pPr>
            <w:r>
              <w:t>16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776E0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1077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Hepsi Haklı</w:t>
            </w:r>
          </w:p>
        </w:tc>
      </w:tr>
      <w:bookmarkEnd w:id="4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T.4.3.11. Deyim ve atasözlerinin metnin anlamına katkısını kavrar.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T.4.3.25. Yönergeleri kavrar.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T.4.3.26. Metindeki gerçek ve hayalî ögeleri ayırt eder.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T.4.3.27. Okuduğu metindeki kahramanların özelliklerini karşılaştırır.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T.4.4.7. Yazdıklarının içeriğine uygun başlık belirler</w:t>
            </w:r>
          </w:p>
          <w:p w:rsidR="000A1E34" w:rsidRPr="001422DA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10774">
              <w:t>Hepsi Haklı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2BD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0774">
              <w:rPr>
                <w:iCs/>
              </w:rPr>
              <w:lastRenderedPageBreak/>
              <w:t xml:space="preserve">Defterlerine yazdıkları Nasrettin Hoca fıkrasını okumaları, </w:t>
            </w:r>
            <w:r>
              <w:rPr>
                <w:iCs/>
              </w:rPr>
              <w:t>okudukları ve dinledikleri</w:t>
            </w:r>
            <w:r w:rsidRPr="00410774">
              <w:rPr>
                <w:iCs/>
              </w:rPr>
              <w:t xml:space="preserve"> fıkralardan hareketle Nasrettin Hoca'nın kişiliği hakkında</w:t>
            </w:r>
            <w:r>
              <w:rPr>
                <w:iCs/>
              </w:rPr>
              <w:t xml:space="preserve"> konuşma yapmaları sağlanır.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0774">
              <w:rPr>
                <w:iCs/>
              </w:rPr>
              <w:t xml:space="preserve">Metni noktalama işaretlerine dikkat ederek önce sessiz, sonra sesli </w:t>
            </w:r>
            <w:r>
              <w:rPr>
                <w:iCs/>
              </w:rPr>
              <w:t>okumaları, o</w:t>
            </w:r>
            <w:r w:rsidRPr="00410774">
              <w:rPr>
                <w:iCs/>
              </w:rPr>
              <w:t>kuma esnasında anlamını bilmedi</w:t>
            </w:r>
            <w:r>
              <w:rPr>
                <w:iCs/>
              </w:rPr>
              <w:t xml:space="preserve">kleri </w:t>
            </w:r>
            <w:r w:rsidRPr="00410774">
              <w:rPr>
                <w:iCs/>
              </w:rPr>
              <w:t>kelimelerin altlarını çiz</w:t>
            </w:r>
            <w:r>
              <w:rPr>
                <w:iCs/>
              </w:rPr>
              <w:t>meleri istenir.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0774">
              <w:rPr>
                <w:iCs/>
              </w:rPr>
              <w:t>Metinde anlamını bilmedikleri kelimeleri yazmaları, bu kelimelerin anlamlarını, metinle birlikte verilen görsellerden ve kelimenin içinde geçtiği dizelerden hareketle tahmin edip ya</w:t>
            </w:r>
            <w:r>
              <w:rPr>
                <w:iCs/>
              </w:rPr>
              <w:t>zmaları, t</w:t>
            </w:r>
            <w:r w:rsidRPr="00410774">
              <w:rPr>
                <w:iCs/>
              </w:rPr>
              <w:t>ahminlerinin doğru olup olmadığını kontrol etmek</w:t>
            </w:r>
            <w:r>
              <w:rPr>
                <w:iCs/>
              </w:rPr>
              <w:t xml:space="preserve"> </w:t>
            </w:r>
            <w:r w:rsidRPr="00410774">
              <w:rPr>
                <w:iCs/>
              </w:rPr>
              <w:t>için kelimelerin sözlük anlamlarına bak</w:t>
            </w:r>
            <w:r>
              <w:rPr>
                <w:iCs/>
              </w:rPr>
              <w:t xml:space="preserve">maları istenir. </w:t>
            </w:r>
            <w:r w:rsidRPr="00F055D3">
              <w:rPr>
                <w:b/>
                <w:bCs/>
                <w:iCs/>
              </w:rPr>
              <w:t>(Etkinlik 1)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kuralları verilen oyun oynatılır. </w:t>
            </w:r>
            <w:r w:rsidRPr="00F055D3">
              <w:rPr>
                <w:b/>
                <w:bCs/>
                <w:iCs/>
              </w:rPr>
              <w:t>(Etkinlik 2)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F055D3">
              <w:rPr>
                <w:b/>
                <w:bCs/>
                <w:iCs/>
              </w:rPr>
              <w:t>(Etkinlik 3)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Mecaz anlamdaki ve gerçek anlamdaki atasözleri bilgisi verilerek ilgili etkinlik yaptırılır. </w:t>
            </w:r>
            <w:r w:rsidRPr="00F055D3">
              <w:rPr>
                <w:b/>
                <w:bCs/>
                <w:iCs/>
              </w:rPr>
              <w:t>(Etkinlik 4)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inceletilip, bu resmin Nasrettin Hoca’nın hangi fıkrasına ait olduğu sorgulanır.</w:t>
            </w:r>
          </w:p>
          <w:p w:rsidR="00410774" w:rsidRDefault="00410774" w:rsidP="004107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Ünlem işaretiyle ilgili bilgi verilir. </w:t>
            </w:r>
            <w:r w:rsidRPr="00F055D3">
              <w:rPr>
                <w:b/>
                <w:bCs/>
                <w:iCs/>
              </w:rPr>
              <w:t>(Etkinlik 5)</w:t>
            </w:r>
          </w:p>
          <w:p w:rsidR="00410774" w:rsidRDefault="002B47DB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Nasrettin Hoca ile ilgili verilen bilgiler okutulur. </w:t>
            </w:r>
            <w:r w:rsidR="00F055D3">
              <w:rPr>
                <w:iCs/>
              </w:rPr>
              <w:t xml:space="preserve">Öğrenciler ikişerli gruplara ayrılır ve fikir ayrılığına düştükleri bir olay hayal etmeleri istenir. Gruplar sırayla tahtaya çıkarılarak fikir ayrılığına düştükleri olayı Nasrettin Hocanınkine benzer bir yöntemle gidermeleri istenir. </w:t>
            </w:r>
            <w:r w:rsidR="00F055D3" w:rsidRPr="00F055D3">
              <w:rPr>
                <w:b/>
                <w:bCs/>
                <w:iCs/>
              </w:rPr>
              <w:t>(Etkinlik 6)</w:t>
            </w:r>
          </w:p>
          <w:p w:rsidR="00F055D3" w:rsidRDefault="00F055D3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Çevrelerinde Nasrettin Hoca’ya benzettikleri kişiler olup olmadığı sorulur, varsa özelliklerini yazmaları istenir. </w:t>
            </w:r>
            <w:r w:rsidRPr="00F055D3">
              <w:rPr>
                <w:b/>
                <w:bCs/>
                <w:iCs/>
              </w:rPr>
              <w:t>(Etkinlik 7)</w:t>
            </w:r>
          </w:p>
          <w:p w:rsidR="00F055D3" w:rsidRPr="00F055D3" w:rsidRDefault="00F055D3" w:rsidP="00F055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55D3">
              <w:rPr>
                <w:iCs/>
              </w:rPr>
              <w:t xml:space="preserve">Sonraki derse hazırlık olarak merak ettikleri bir ilimizi araştırmaları, araştırma sonucunda o ilin önemli tarihî eserlerini, doğal güzelliklerini, yemeklerini, türkülerini vb. özelliklerini </w:t>
            </w:r>
            <w:r>
              <w:rPr>
                <w:iCs/>
              </w:rPr>
              <w:t>defterlerine not etmeleri istenir.</w:t>
            </w:r>
          </w:p>
          <w:p w:rsidR="00F055D3" w:rsidRPr="00410774" w:rsidRDefault="00F055D3" w:rsidP="00F055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55D3">
              <w:rPr>
                <w:iCs/>
              </w:rPr>
              <w:t>Aile büyüklerin</w:t>
            </w:r>
            <w:r>
              <w:rPr>
                <w:iCs/>
              </w:rPr>
              <w:t>den</w:t>
            </w:r>
            <w:r w:rsidRPr="00F055D3">
              <w:rPr>
                <w:iCs/>
              </w:rPr>
              <w:t xml:space="preserve"> yardım alarak millî kültürümüzle ilgili bilgilerin yer aldığı</w:t>
            </w:r>
            <w:r>
              <w:rPr>
                <w:iCs/>
              </w:rPr>
              <w:t xml:space="preserve"> i</w:t>
            </w:r>
            <w:r w:rsidRPr="00F055D3">
              <w:rPr>
                <w:iCs/>
              </w:rPr>
              <w:t>nternet sitelerini araştır</w:t>
            </w:r>
            <w:r>
              <w:rPr>
                <w:iCs/>
              </w:rPr>
              <w:t>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774" w:rsidRDefault="00410774" w:rsidP="00410774">
            <w:r>
              <w:t>Öğrencilerin izledikleri bir filmi tanıtmaları, görüş ve düşüncelerini belirterek anlatmaları sağlanır.</w:t>
            </w:r>
          </w:p>
          <w:p w:rsidR="00410774" w:rsidRDefault="00410774" w:rsidP="00410774">
            <w:r>
              <w:t>Öğrencilerin verilen bir konuyu görsellerle destekleyerek kısa sunum hazırlamaları ve prova yapmaları sağlanır.</w:t>
            </w:r>
          </w:p>
          <w:p w:rsidR="00410774" w:rsidRDefault="00410774" w:rsidP="00410774">
            <w:r>
              <w:t>Nezaket kurallarına uygun konuşulması gerektiği hatırlatılır.</w:t>
            </w:r>
          </w:p>
          <w:p w:rsidR="00410774" w:rsidRDefault="00410774" w:rsidP="00410774">
            <w:r>
              <w:t>Beden dilini etkin kullanmanın önemi vurgulanır.</w:t>
            </w:r>
          </w:p>
          <w:p w:rsidR="00410774" w:rsidRDefault="00410774" w:rsidP="00410774">
            <w:r>
              <w:t>Öğrencilerin sesli, sessiz, tahmin ederek ve soru sorarak okuma yapmaları sağlanır.</w:t>
            </w:r>
          </w:p>
          <w:p w:rsidR="00410774" w:rsidRDefault="00410774" w:rsidP="00410774">
            <w:r>
              <w:t>Kahramanların fiziksel ve kişilik özelliklerinin karşılaştırılması sağlanır.</w:t>
            </w:r>
          </w:p>
          <w:p w:rsidR="00410774" w:rsidRDefault="00410774" w:rsidP="00410774">
            <w:r>
              <w:t>Neden-sonuç, karşılaştırma, benzetme, örneklendirme gibi çıkarımlar yapılması sağlanır.</w:t>
            </w:r>
          </w:p>
          <w:p w:rsidR="000A1E34" w:rsidRPr="0083125C" w:rsidRDefault="00410774" w:rsidP="00410774">
            <w: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50" w:rsidRDefault="00480450" w:rsidP="00161E3C">
      <w:r>
        <w:separator/>
      </w:r>
    </w:p>
  </w:endnote>
  <w:endnote w:type="continuationSeparator" w:id="0">
    <w:p w:rsidR="00480450" w:rsidRDefault="004804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50" w:rsidRDefault="00480450" w:rsidP="00161E3C">
      <w:r>
        <w:separator/>
      </w:r>
    </w:p>
  </w:footnote>
  <w:footnote w:type="continuationSeparator" w:id="0">
    <w:p w:rsidR="00480450" w:rsidRDefault="004804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A1015"/>
    <w:rsid w:val="002B35D5"/>
    <w:rsid w:val="002B47DB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80450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F6908-4B27-44EE-8B10-23E6D0F8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2019-12-15T01:50:00Z</dcterms:created>
  <dcterms:modified xsi:type="dcterms:W3CDTF">2019-12-15T01:50:00Z</dcterms:modified>
</cp:coreProperties>
</file>