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0A1E34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EC1EBD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1145C">
        <w:rPr>
          <w:b/>
        </w:rPr>
        <w:t>19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1145C" w:rsidP="00042BEA">
            <w:pPr>
              <w:spacing w:line="220" w:lineRule="exact"/>
            </w:pPr>
            <w:r>
              <w:t>8</w:t>
            </w:r>
            <w:r w:rsidR="000A1E34">
              <w:t xml:space="preserve">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1145C" w:rsidP="00042BEA">
            <w:pPr>
              <w:tabs>
                <w:tab w:val="left" w:pos="284"/>
              </w:tabs>
              <w:spacing w:line="240" w:lineRule="exact"/>
            </w:pPr>
            <w:r>
              <w:t>Doğa ve Evren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C1145C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Yeşilyurt</w:t>
            </w:r>
          </w:p>
        </w:tc>
      </w:tr>
      <w:bookmarkEnd w:id="3"/>
    </w:tbl>
    <w:p w:rsidR="00254756" w:rsidRDefault="0025475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45C" w:rsidRPr="00C1145C" w:rsidRDefault="00C1145C" w:rsidP="00C1145C">
            <w:pPr>
              <w:rPr>
                <w:rFonts w:ascii="Tahoma" w:hAnsi="Tahoma" w:cs="Tahoma"/>
                <w:sz w:val="18"/>
                <w:szCs w:val="18"/>
              </w:rPr>
            </w:pPr>
            <w:r w:rsidRPr="00C1145C">
              <w:rPr>
                <w:rFonts w:ascii="Tahoma" w:hAnsi="Tahoma" w:cs="Tahoma"/>
                <w:sz w:val="18"/>
                <w:szCs w:val="18"/>
              </w:rPr>
              <w:t>T.4.2.1. Kelimeleri anlamlarına uygun kullanır.</w:t>
            </w:r>
          </w:p>
          <w:p w:rsidR="00C1145C" w:rsidRPr="00C1145C" w:rsidRDefault="00C1145C" w:rsidP="00C1145C">
            <w:pPr>
              <w:rPr>
                <w:rFonts w:ascii="Tahoma" w:hAnsi="Tahoma" w:cs="Tahoma"/>
                <w:sz w:val="18"/>
                <w:szCs w:val="18"/>
              </w:rPr>
            </w:pPr>
            <w:r w:rsidRPr="00C1145C">
              <w:rPr>
                <w:rFonts w:ascii="Tahoma" w:hAnsi="Tahoma" w:cs="Tahoma"/>
                <w:sz w:val="18"/>
                <w:szCs w:val="18"/>
              </w:rPr>
              <w:t>T.4.2.2. Hazırlıksız konuşmalar yapar.</w:t>
            </w:r>
          </w:p>
          <w:p w:rsidR="00C1145C" w:rsidRPr="00C1145C" w:rsidRDefault="00C1145C" w:rsidP="00C1145C">
            <w:pPr>
              <w:rPr>
                <w:rFonts w:ascii="Tahoma" w:hAnsi="Tahoma" w:cs="Tahoma"/>
                <w:sz w:val="18"/>
                <w:szCs w:val="18"/>
              </w:rPr>
            </w:pPr>
            <w:r w:rsidRPr="00C1145C">
              <w:rPr>
                <w:rFonts w:ascii="Tahoma" w:hAnsi="Tahoma" w:cs="Tahoma"/>
                <w:sz w:val="18"/>
                <w:szCs w:val="18"/>
              </w:rPr>
              <w:t>T.4.2.3. Hazırlıklı konuşmalar yapar.</w:t>
            </w:r>
          </w:p>
          <w:p w:rsidR="00C1145C" w:rsidRPr="00C1145C" w:rsidRDefault="00C1145C" w:rsidP="00C1145C">
            <w:pPr>
              <w:rPr>
                <w:rFonts w:ascii="Tahoma" w:hAnsi="Tahoma" w:cs="Tahoma"/>
                <w:sz w:val="18"/>
                <w:szCs w:val="18"/>
              </w:rPr>
            </w:pPr>
            <w:r w:rsidRPr="00C1145C">
              <w:rPr>
                <w:rFonts w:ascii="Tahoma" w:hAnsi="Tahoma" w:cs="Tahoma"/>
                <w:sz w:val="18"/>
                <w:szCs w:val="18"/>
              </w:rPr>
              <w:t>T.4.2.4. Konuşma stratejilerini uygular.</w:t>
            </w:r>
          </w:p>
          <w:p w:rsidR="00C1145C" w:rsidRPr="00C1145C" w:rsidRDefault="00C1145C" w:rsidP="00C1145C">
            <w:pPr>
              <w:rPr>
                <w:rFonts w:ascii="Tahoma" w:hAnsi="Tahoma" w:cs="Tahoma"/>
                <w:sz w:val="18"/>
                <w:szCs w:val="18"/>
              </w:rPr>
            </w:pPr>
            <w:r w:rsidRPr="00C1145C">
              <w:rPr>
                <w:rFonts w:ascii="Tahoma" w:hAnsi="Tahoma" w:cs="Tahoma"/>
                <w:sz w:val="18"/>
                <w:szCs w:val="18"/>
              </w:rPr>
              <w:t>T4.2.5. Sınıf içindeki tartışma ve konuşmalara katılır.</w:t>
            </w:r>
          </w:p>
          <w:p w:rsidR="00C1145C" w:rsidRPr="00C1145C" w:rsidRDefault="00C1145C" w:rsidP="00C1145C">
            <w:pPr>
              <w:rPr>
                <w:rFonts w:ascii="Tahoma" w:hAnsi="Tahoma" w:cs="Tahoma"/>
                <w:sz w:val="18"/>
                <w:szCs w:val="18"/>
              </w:rPr>
            </w:pPr>
            <w:r w:rsidRPr="00C1145C">
              <w:rPr>
                <w:rFonts w:ascii="Tahoma" w:hAnsi="Tahoma" w:cs="Tahoma"/>
                <w:sz w:val="18"/>
                <w:szCs w:val="18"/>
              </w:rPr>
              <w:t>T.4.3.2. Vurgu, tonlama ve telaffuza dikkat ederek okur.</w:t>
            </w:r>
          </w:p>
          <w:p w:rsidR="00C1145C" w:rsidRPr="00C1145C" w:rsidRDefault="00C1145C" w:rsidP="00C1145C">
            <w:pPr>
              <w:rPr>
                <w:rFonts w:ascii="Tahoma" w:hAnsi="Tahoma" w:cs="Tahoma"/>
                <w:sz w:val="18"/>
                <w:szCs w:val="18"/>
              </w:rPr>
            </w:pPr>
            <w:r w:rsidRPr="00C1145C">
              <w:rPr>
                <w:rFonts w:ascii="Tahoma" w:hAnsi="Tahoma" w:cs="Tahoma"/>
                <w:sz w:val="18"/>
                <w:szCs w:val="18"/>
              </w:rPr>
              <w:t>T.4.3.6 Okuma stratejilerini uygular.</w:t>
            </w:r>
          </w:p>
          <w:p w:rsidR="00C1145C" w:rsidRPr="00C1145C" w:rsidRDefault="00C1145C" w:rsidP="00C1145C">
            <w:pPr>
              <w:rPr>
                <w:rFonts w:ascii="Tahoma" w:hAnsi="Tahoma" w:cs="Tahoma"/>
                <w:sz w:val="18"/>
                <w:szCs w:val="18"/>
              </w:rPr>
            </w:pPr>
            <w:r w:rsidRPr="00C1145C">
              <w:rPr>
                <w:rFonts w:ascii="Tahoma" w:hAnsi="Tahoma" w:cs="Tahoma"/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C1145C" w:rsidRPr="00C1145C" w:rsidRDefault="00C1145C" w:rsidP="00C1145C">
            <w:pPr>
              <w:rPr>
                <w:rFonts w:ascii="Tahoma" w:hAnsi="Tahoma" w:cs="Tahoma"/>
                <w:sz w:val="18"/>
                <w:szCs w:val="18"/>
              </w:rPr>
            </w:pPr>
            <w:r w:rsidRPr="00C1145C">
              <w:rPr>
                <w:rFonts w:ascii="Tahoma" w:hAnsi="Tahoma" w:cs="Tahoma"/>
                <w:sz w:val="18"/>
                <w:szCs w:val="18"/>
              </w:rPr>
              <w:t>T.4.3.16. Okuduğu metnin konusunu belirler.</w:t>
            </w:r>
          </w:p>
          <w:p w:rsidR="00C1145C" w:rsidRPr="00C1145C" w:rsidRDefault="00C1145C" w:rsidP="00C1145C">
            <w:pPr>
              <w:rPr>
                <w:rFonts w:ascii="Tahoma" w:hAnsi="Tahoma" w:cs="Tahoma"/>
                <w:sz w:val="18"/>
                <w:szCs w:val="18"/>
              </w:rPr>
            </w:pPr>
            <w:r w:rsidRPr="00C1145C">
              <w:rPr>
                <w:rFonts w:ascii="Tahoma" w:hAnsi="Tahoma" w:cs="Tahoma"/>
                <w:sz w:val="18"/>
                <w:szCs w:val="18"/>
              </w:rPr>
              <w:t>T.4.3.17. Metnin ana fikri/ana duygusunu belirler.</w:t>
            </w:r>
          </w:p>
          <w:p w:rsidR="00C1145C" w:rsidRPr="00C1145C" w:rsidRDefault="00C1145C" w:rsidP="00C1145C">
            <w:pPr>
              <w:rPr>
                <w:rFonts w:ascii="Tahoma" w:hAnsi="Tahoma" w:cs="Tahoma"/>
                <w:sz w:val="18"/>
                <w:szCs w:val="18"/>
              </w:rPr>
            </w:pPr>
            <w:r w:rsidRPr="00C1145C">
              <w:rPr>
                <w:rFonts w:ascii="Tahoma" w:hAnsi="Tahoma" w:cs="Tahoma"/>
                <w:sz w:val="18"/>
                <w:szCs w:val="18"/>
              </w:rPr>
              <w:t>T.4.3.18. Okuduğu metinle ilgili soruları cevaplar.</w:t>
            </w:r>
          </w:p>
          <w:p w:rsidR="00C1145C" w:rsidRPr="00C1145C" w:rsidRDefault="00C1145C" w:rsidP="00C1145C">
            <w:pPr>
              <w:rPr>
                <w:rFonts w:ascii="Tahoma" w:hAnsi="Tahoma" w:cs="Tahoma"/>
                <w:sz w:val="18"/>
                <w:szCs w:val="18"/>
              </w:rPr>
            </w:pPr>
            <w:r w:rsidRPr="00C1145C">
              <w:rPr>
                <w:rFonts w:ascii="Tahoma" w:hAnsi="Tahoma" w:cs="Tahoma"/>
                <w:sz w:val="18"/>
                <w:szCs w:val="18"/>
              </w:rPr>
              <w:t>T.4.3.28. Okudukları ile ilgili çıkarımlar yapar.</w:t>
            </w:r>
          </w:p>
          <w:p w:rsidR="00C1145C" w:rsidRPr="00C1145C" w:rsidRDefault="00C1145C" w:rsidP="00C1145C">
            <w:pPr>
              <w:rPr>
                <w:rFonts w:ascii="Tahoma" w:hAnsi="Tahoma" w:cs="Tahoma"/>
                <w:sz w:val="18"/>
                <w:szCs w:val="18"/>
              </w:rPr>
            </w:pPr>
            <w:r w:rsidRPr="00C1145C">
              <w:rPr>
                <w:rFonts w:ascii="Tahoma" w:hAnsi="Tahoma" w:cs="Tahoma"/>
                <w:sz w:val="18"/>
                <w:szCs w:val="18"/>
              </w:rPr>
              <w:t>T.4.3.32. Kısa ve basit dijital metinlerdeki mesajı kavrar.</w:t>
            </w:r>
          </w:p>
          <w:p w:rsidR="00C1145C" w:rsidRPr="00C1145C" w:rsidRDefault="00C1145C" w:rsidP="00C1145C">
            <w:pPr>
              <w:rPr>
                <w:rFonts w:ascii="Tahoma" w:hAnsi="Tahoma" w:cs="Tahoma"/>
                <w:sz w:val="18"/>
                <w:szCs w:val="18"/>
              </w:rPr>
            </w:pPr>
            <w:r w:rsidRPr="00C1145C">
              <w:rPr>
                <w:rFonts w:ascii="Tahoma" w:hAnsi="Tahoma" w:cs="Tahoma"/>
                <w:sz w:val="18"/>
                <w:szCs w:val="18"/>
              </w:rPr>
              <w:t>T.4.4.4. Bilgilendirici metin yazar.</w:t>
            </w:r>
          </w:p>
          <w:p w:rsidR="00C1145C" w:rsidRPr="00C1145C" w:rsidRDefault="00C1145C" w:rsidP="00C1145C">
            <w:pPr>
              <w:rPr>
                <w:rFonts w:ascii="Tahoma" w:hAnsi="Tahoma" w:cs="Tahoma"/>
                <w:sz w:val="18"/>
                <w:szCs w:val="18"/>
              </w:rPr>
            </w:pPr>
            <w:r w:rsidRPr="00C1145C">
              <w:rPr>
                <w:rFonts w:ascii="Tahoma" w:hAnsi="Tahoma" w:cs="Tahoma"/>
                <w:sz w:val="18"/>
                <w:szCs w:val="18"/>
              </w:rPr>
              <w:t>T.4.4.11. Yazdıklarını düzenler.</w:t>
            </w:r>
          </w:p>
          <w:p w:rsidR="00C1145C" w:rsidRPr="00C1145C" w:rsidRDefault="00C1145C" w:rsidP="00C1145C">
            <w:pPr>
              <w:rPr>
                <w:rFonts w:ascii="Tahoma" w:hAnsi="Tahoma" w:cs="Tahoma"/>
                <w:sz w:val="18"/>
                <w:szCs w:val="18"/>
              </w:rPr>
            </w:pPr>
            <w:r w:rsidRPr="00C1145C">
              <w:rPr>
                <w:rFonts w:ascii="Tahoma" w:hAnsi="Tahoma" w:cs="Tahoma"/>
                <w:sz w:val="18"/>
                <w:szCs w:val="18"/>
              </w:rPr>
              <w:t>T.4.4.12. Yazdıklarını paylaşır.</w:t>
            </w:r>
          </w:p>
          <w:p w:rsidR="000A1E34" w:rsidRPr="001422DA" w:rsidRDefault="00C1145C" w:rsidP="00C1145C">
            <w:pPr>
              <w:rPr>
                <w:rFonts w:ascii="Tahoma" w:hAnsi="Tahoma" w:cs="Tahoma"/>
                <w:sz w:val="18"/>
                <w:szCs w:val="18"/>
              </w:rPr>
            </w:pPr>
            <w:r w:rsidRPr="00C1145C">
              <w:rPr>
                <w:rFonts w:ascii="Tahoma" w:hAnsi="Tahoma" w:cs="Tahoma"/>
                <w:sz w:val="18"/>
                <w:szCs w:val="18"/>
              </w:rPr>
              <w:t>T.4.4.14. Yazdıklarını zenginleştirmek için çizim, grafik ve görseller kullanır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C1145C">
              <w:t>Yeşilyurt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1EBD" w:rsidRDefault="00260630" w:rsidP="00C114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C1EBD">
              <w:rPr>
                <w:iCs/>
              </w:rPr>
              <w:t>"</w:t>
            </w:r>
            <w:r w:rsidR="00C1145C" w:rsidRPr="00C1145C">
              <w:rPr>
                <w:iCs/>
              </w:rPr>
              <w:t>Çevrenizdeki yeşil alanların ve ağaçların korunması için neler yapıyorsunuz?</w:t>
            </w:r>
            <w:r w:rsidR="00C1145C">
              <w:rPr>
                <w:iCs/>
              </w:rPr>
              <w:t xml:space="preserve"> </w:t>
            </w:r>
            <w:r w:rsidR="00C1145C" w:rsidRPr="00C1145C">
              <w:rPr>
                <w:iCs/>
              </w:rPr>
              <w:t>Sizce ülkemiz yeterince yeşil midir? Neden?</w:t>
            </w:r>
            <w:r w:rsidR="00C1145C">
              <w:rPr>
                <w:iCs/>
              </w:rPr>
              <w:t>” Sorularıyla öğrenciler konuşturulur.</w:t>
            </w:r>
          </w:p>
          <w:p w:rsidR="00C1145C" w:rsidRDefault="00C1145C" w:rsidP="00C114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1145C">
              <w:rPr>
                <w:iCs/>
              </w:rPr>
              <w:t>Met</w:t>
            </w:r>
            <w:r>
              <w:rPr>
                <w:iCs/>
              </w:rPr>
              <w:t>in</w:t>
            </w:r>
            <w:r w:rsidRPr="00C1145C">
              <w:rPr>
                <w:iCs/>
              </w:rPr>
              <w:t xml:space="preserve"> paylaşarak okuma yöntemiyle</w:t>
            </w:r>
            <w:r>
              <w:rPr>
                <w:iCs/>
              </w:rPr>
              <w:t xml:space="preserve"> okutulur.</w:t>
            </w:r>
          </w:p>
          <w:p w:rsidR="00C1145C" w:rsidRDefault="00C1145C" w:rsidP="00C114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Etkinlikte anlamları verilmiş sözcükleri bulmacada uygun yerlere yerleştirmeleri istenir. Bu kelimelerle ilgili defterlere cümle kurmaları istenir. </w:t>
            </w:r>
            <w:proofErr w:type="gramStart"/>
            <w:r>
              <w:rPr>
                <w:iCs/>
              </w:rPr>
              <w:t>(</w:t>
            </w:r>
            <w:proofErr w:type="gramEnd"/>
            <w:r>
              <w:rPr>
                <w:iCs/>
              </w:rPr>
              <w:t>Etkinlik 1)</w:t>
            </w:r>
          </w:p>
          <w:p w:rsidR="00C1145C" w:rsidRDefault="00C1145C" w:rsidP="00C114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Etkinlikteki sorular metne göre cevaplatılır. (Etkinlik 2)</w:t>
            </w:r>
          </w:p>
          <w:p w:rsidR="00C1145C" w:rsidRDefault="00C1145C" w:rsidP="00C114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konusu ve ana fikri buldurulur. (Etkinlik 3)</w:t>
            </w:r>
          </w:p>
          <w:p w:rsidR="00C1145C" w:rsidRDefault="00C1145C" w:rsidP="00C114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ilginç gelen kısımları nedenleri ile birlikte yazdırılır. (Etkinlik 4)</w:t>
            </w:r>
          </w:p>
          <w:p w:rsidR="00C1145C" w:rsidRPr="0042480C" w:rsidRDefault="00C1145C" w:rsidP="0042480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480C">
              <w:rPr>
                <w:iCs/>
              </w:rPr>
              <w:t>Etkinlikte verilen Erozyonla Mücadele Haftası için yapılmış sosyal medya duyuru görseli inceletilir. Duyurudaki görsel ve yazılarla ilgili fikirlerini açıklamaları istenir.</w:t>
            </w:r>
            <w:r>
              <w:t xml:space="preserve"> </w:t>
            </w:r>
            <w:r w:rsidRPr="0042480C">
              <w:rPr>
                <w:iCs/>
              </w:rPr>
              <w:t>Buna benzer sosyal</w:t>
            </w:r>
            <w:r w:rsidRPr="0042480C">
              <w:rPr>
                <w:iCs/>
              </w:rPr>
              <w:t xml:space="preserve"> </w:t>
            </w:r>
            <w:r w:rsidRPr="0042480C">
              <w:rPr>
                <w:iCs/>
              </w:rPr>
              <w:t>medya duyurularıyla daha</w:t>
            </w:r>
            <w:r w:rsidRPr="0042480C">
              <w:rPr>
                <w:iCs/>
              </w:rPr>
              <w:t xml:space="preserve"> </w:t>
            </w:r>
            <w:r w:rsidRPr="0042480C">
              <w:rPr>
                <w:iCs/>
              </w:rPr>
              <w:t xml:space="preserve">önce </w:t>
            </w:r>
            <w:r w:rsidRPr="0042480C">
              <w:rPr>
                <w:iCs/>
              </w:rPr>
              <w:t>karşılaşıp karşılaşmadıkları, k</w:t>
            </w:r>
            <w:r w:rsidRPr="0042480C">
              <w:rPr>
                <w:iCs/>
              </w:rPr>
              <w:t>arşılaştıysa</w:t>
            </w:r>
            <w:r w:rsidRPr="0042480C">
              <w:rPr>
                <w:iCs/>
              </w:rPr>
              <w:t>lar</w:t>
            </w:r>
            <w:r w:rsidRPr="0042480C">
              <w:rPr>
                <w:iCs/>
              </w:rPr>
              <w:t xml:space="preserve"> duyuru</w:t>
            </w:r>
            <w:r w:rsidRPr="0042480C">
              <w:rPr>
                <w:iCs/>
              </w:rPr>
              <w:t xml:space="preserve"> </w:t>
            </w:r>
            <w:r w:rsidRPr="0042480C">
              <w:rPr>
                <w:iCs/>
              </w:rPr>
              <w:t>üzerinde, konu ve tarih</w:t>
            </w:r>
            <w:r w:rsidRPr="0042480C">
              <w:rPr>
                <w:iCs/>
              </w:rPr>
              <w:t xml:space="preserve"> </w:t>
            </w:r>
            <w:r w:rsidRPr="0042480C">
              <w:rPr>
                <w:iCs/>
              </w:rPr>
              <w:t>dışında nelerin yazılı</w:t>
            </w:r>
            <w:r w:rsidRPr="0042480C">
              <w:rPr>
                <w:iCs/>
              </w:rPr>
              <w:t xml:space="preserve"> </w:t>
            </w:r>
            <w:r w:rsidRPr="0042480C">
              <w:rPr>
                <w:iCs/>
              </w:rPr>
              <w:t>olduğunu açıkla</w:t>
            </w:r>
            <w:r w:rsidRPr="0042480C">
              <w:rPr>
                <w:iCs/>
              </w:rPr>
              <w:t xml:space="preserve">maları istenir. </w:t>
            </w:r>
            <w:r w:rsidRPr="0042480C">
              <w:rPr>
                <w:iCs/>
              </w:rPr>
              <w:t>“Yaşam toprakta filizlenir.” cümlesiyle anlatılmak istenen</w:t>
            </w:r>
            <w:r w:rsidR="0042480C" w:rsidRPr="0042480C">
              <w:rPr>
                <w:iCs/>
              </w:rPr>
              <w:t>in ne olduğu sorgulanır.</w:t>
            </w:r>
            <w:r w:rsidR="0042480C">
              <w:t xml:space="preserve"> </w:t>
            </w:r>
            <w:r w:rsidR="0042480C" w:rsidRPr="0042480C">
              <w:rPr>
                <w:iCs/>
              </w:rPr>
              <w:t>"Sonraki Derse Hazırlık" aşamasında istenilen araştırma sonucunda</w:t>
            </w:r>
            <w:r w:rsidR="0042480C" w:rsidRPr="0042480C">
              <w:rPr>
                <w:iCs/>
              </w:rPr>
              <w:t xml:space="preserve"> </w:t>
            </w:r>
            <w:r w:rsidR="0042480C" w:rsidRPr="0042480C">
              <w:rPr>
                <w:iCs/>
              </w:rPr>
              <w:t>incele</w:t>
            </w:r>
            <w:r w:rsidR="0042480C">
              <w:rPr>
                <w:iCs/>
              </w:rPr>
              <w:t>dikleri</w:t>
            </w:r>
            <w:r w:rsidR="0042480C" w:rsidRPr="0042480C">
              <w:rPr>
                <w:iCs/>
              </w:rPr>
              <w:t xml:space="preserve"> afişlerden yola çıkarak ormanın önemini anlatan bir afiş</w:t>
            </w:r>
            <w:r w:rsidR="0042480C" w:rsidRPr="0042480C">
              <w:rPr>
                <w:iCs/>
              </w:rPr>
              <w:t xml:space="preserve"> </w:t>
            </w:r>
            <w:r w:rsidR="0042480C">
              <w:rPr>
                <w:iCs/>
              </w:rPr>
              <w:t>hazırlamaları istenir.</w:t>
            </w:r>
            <w:r w:rsidRPr="0042480C">
              <w:rPr>
                <w:iCs/>
              </w:rPr>
              <w:t xml:space="preserve"> (Etkinlik 5)</w:t>
            </w:r>
          </w:p>
          <w:p w:rsidR="00C1145C" w:rsidRDefault="0042480C" w:rsidP="0042480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480C">
              <w:rPr>
                <w:iCs/>
              </w:rPr>
              <w:t>Toprağı korumanın en etkili yolu bitki örtüsünü ve ağaçları korumaktır. “Sonraki</w:t>
            </w:r>
            <w:r w:rsidRPr="0042480C">
              <w:rPr>
                <w:iCs/>
              </w:rPr>
              <w:t xml:space="preserve"> </w:t>
            </w:r>
            <w:r w:rsidRPr="0042480C">
              <w:rPr>
                <w:iCs/>
              </w:rPr>
              <w:t>Derse Hazırlık” çalışmasında yaptı</w:t>
            </w:r>
            <w:r w:rsidRPr="0042480C">
              <w:rPr>
                <w:iCs/>
              </w:rPr>
              <w:t>kları</w:t>
            </w:r>
            <w:r w:rsidRPr="0042480C">
              <w:rPr>
                <w:iCs/>
              </w:rPr>
              <w:t xml:space="preserve"> araştırmanın sonuçlarını göz önünde bulundurarak</w:t>
            </w:r>
            <w:r w:rsidRPr="0042480C">
              <w:rPr>
                <w:iCs/>
              </w:rPr>
              <w:t xml:space="preserve"> </w:t>
            </w:r>
            <w:r w:rsidRPr="0042480C">
              <w:rPr>
                <w:iCs/>
              </w:rPr>
              <w:t>ormanın korunması için çalışan kuruluşların birinde aktif olarak görev yaptı</w:t>
            </w:r>
            <w:r>
              <w:rPr>
                <w:iCs/>
              </w:rPr>
              <w:t>klarını düşünmelerini,</w:t>
            </w:r>
            <w:r w:rsidRPr="0042480C">
              <w:rPr>
                <w:iCs/>
              </w:rPr>
              <w:t xml:space="preserve"> </w:t>
            </w:r>
            <w:r>
              <w:rPr>
                <w:iCs/>
              </w:rPr>
              <w:t>b</w:t>
            </w:r>
            <w:r w:rsidRPr="0042480C">
              <w:rPr>
                <w:iCs/>
              </w:rPr>
              <w:t>u kuruluşun daha etkili olabilmesi için yapılması gerekenleri yaz</w:t>
            </w:r>
            <w:r>
              <w:rPr>
                <w:iCs/>
              </w:rPr>
              <w:t>maları istenir. (Etkinlik 6)</w:t>
            </w:r>
          </w:p>
          <w:p w:rsidR="0042480C" w:rsidRPr="00410774" w:rsidRDefault="0042480C" w:rsidP="0042480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Sonraki derse hazırlık kapsamında </w:t>
            </w:r>
            <w:r w:rsidRPr="0042480C">
              <w:rPr>
                <w:iCs/>
              </w:rPr>
              <w:t xml:space="preserve">Güneş Sisteminde bulunan gezegen ve yıldızlar hakkında araştırma </w:t>
            </w:r>
            <w:r>
              <w:rPr>
                <w:iCs/>
              </w:rPr>
              <w:t>yapmaları, a</w:t>
            </w:r>
            <w:r w:rsidRPr="0042480C">
              <w:rPr>
                <w:iCs/>
              </w:rPr>
              <w:t>raştırma</w:t>
            </w:r>
            <w:r>
              <w:rPr>
                <w:iCs/>
              </w:rPr>
              <w:t xml:space="preserve"> </w:t>
            </w:r>
            <w:r w:rsidRPr="0042480C">
              <w:rPr>
                <w:iCs/>
              </w:rPr>
              <w:t>sonucunda edindi</w:t>
            </w:r>
            <w:r>
              <w:rPr>
                <w:iCs/>
              </w:rPr>
              <w:t>kleri</w:t>
            </w:r>
            <w:r w:rsidRPr="0042480C">
              <w:rPr>
                <w:iCs/>
              </w:rPr>
              <w:t xml:space="preserve"> bilgi ve görselleri sınıfa get</w:t>
            </w:r>
            <w:r>
              <w:rPr>
                <w:iCs/>
              </w:rPr>
              <w:t>irmeleri istenir</w:t>
            </w:r>
            <w:bookmarkStart w:id="4" w:name="_GoBack"/>
            <w:bookmarkEnd w:id="4"/>
            <w:r w:rsidRPr="0042480C">
              <w:rPr>
                <w:iCs/>
              </w:rPr>
              <w:t>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lastRenderedPageBreak/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145C" w:rsidRDefault="00C1145C" w:rsidP="00C1145C">
            <w:r>
              <w:t>Öğrencilerin izledikleri bir filmi tanıtmaları, görüş ve düşüncelerini belirterek anlatmaları sağlanır.</w:t>
            </w:r>
          </w:p>
          <w:p w:rsidR="00C1145C" w:rsidRDefault="00C1145C" w:rsidP="00C1145C">
            <w:r>
              <w:t>Öğrencilerin verilen bir konuyu görsellerle destekleyerek kısa sunum hazırlamaları ve prova yapmaları sağlanır.</w:t>
            </w:r>
          </w:p>
          <w:p w:rsidR="00C1145C" w:rsidRDefault="00C1145C" w:rsidP="00C1145C">
            <w:r>
              <w:t>Nezaket kurallarına uygun konuşulması gerektiği hatırlatılır.</w:t>
            </w:r>
          </w:p>
          <w:p w:rsidR="00C1145C" w:rsidRDefault="00C1145C" w:rsidP="00C1145C">
            <w:r>
              <w:t>Beden dilini etkin kullanmanın önemi vurgulanır.</w:t>
            </w:r>
          </w:p>
          <w:p w:rsidR="00C1145C" w:rsidRDefault="00C1145C" w:rsidP="00C1145C">
            <w:r>
              <w:t>Öğrencilerin sesli, sessiz, tahmin ederek ve soru sorarak okuma yapmaları sağlanır.</w:t>
            </w:r>
          </w:p>
          <w:p w:rsidR="00C1145C" w:rsidRDefault="00C1145C" w:rsidP="00C1145C">
            <w:r>
              <w:t>Neden-sonuç, karşılaştırma, benzetme, örneklendirme gibi çıkarımlar yapılması sağlanır.</w:t>
            </w:r>
          </w:p>
          <w:p w:rsidR="00C1145C" w:rsidRDefault="00C1145C" w:rsidP="00C1145C">
            <w:r>
              <w:t>Elektronik posta ve sosyal medya içeriklerine (tebrik, ilan ve duyuru mesajları vb.) yer verilir.</w:t>
            </w:r>
          </w:p>
          <w:p w:rsidR="000A1E34" w:rsidRPr="0083125C" w:rsidRDefault="00C1145C" w:rsidP="00C1145C">
            <w:r>
              <w:t>Verilen ya da kendi belirledikleri bir konu hakkında araştırma yapmaları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EC1EBD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sectPr w:rsidR="0050195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27F8" w:rsidRDefault="004827F8" w:rsidP="00161E3C">
      <w:r>
        <w:separator/>
      </w:r>
    </w:p>
  </w:endnote>
  <w:endnote w:type="continuationSeparator" w:id="0">
    <w:p w:rsidR="004827F8" w:rsidRDefault="004827F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27F8" w:rsidRDefault="004827F8" w:rsidP="00161E3C">
      <w:r>
        <w:separator/>
      </w:r>
    </w:p>
  </w:footnote>
  <w:footnote w:type="continuationSeparator" w:id="0">
    <w:p w:rsidR="004827F8" w:rsidRDefault="004827F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2301"/>
    <w:rsid w:val="00056CEF"/>
    <w:rsid w:val="000704FA"/>
    <w:rsid w:val="00075A45"/>
    <w:rsid w:val="00081383"/>
    <w:rsid w:val="000A1E34"/>
    <w:rsid w:val="000A71A4"/>
    <w:rsid w:val="000B2D78"/>
    <w:rsid w:val="000E1086"/>
    <w:rsid w:val="000E2B76"/>
    <w:rsid w:val="000F2537"/>
    <w:rsid w:val="00102DAB"/>
    <w:rsid w:val="001042BD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E5F"/>
    <w:rsid w:val="00211CCB"/>
    <w:rsid w:val="00223E57"/>
    <w:rsid w:val="00224B69"/>
    <w:rsid w:val="00240C29"/>
    <w:rsid w:val="00241F51"/>
    <w:rsid w:val="00251955"/>
    <w:rsid w:val="00254638"/>
    <w:rsid w:val="00254756"/>
    <w:rsid w:val="00256787"/>
    <w:rsid w:val="00260630"/>
    <w:rsid w:val="00277BBC"/>
    <w:rsid w:val="002A1015"/>
    <w:rsid w:val="002B35D5"/>
    <w:rsid w:val="002B47DB"/>
    <w:rsid w:val="002B484C"/>
    <w:rsid w:val="002C5630"/>
    <w:rsid w:val="002F0396"/>
    <w:rsid w:val="002F18CB"/>
    <w:rsid w:val="002F334D"/>
    <w:rsid w:val="002F3A7E"/>
    <w:rsid w:val="002F4C9A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4940"/>
    <w:rsid w:val="0038513E"/>
    <w:rsid w:val="00387E2C"/>
    <w:rsid w:val="00391B41"/>
    <w:rsid w:val="003A0964"/>
    <w:rsid w:val="003B36F5"/>
    <w:rsid w:val="003B5443"/>
    <w:rsid w:val="003C2E8E"/>
    <w:rsid w:val="003C464E"/>
    <w:rsid w:val="003C76D3"/>
    <w:rsid w:val="003D2C17"/>
    <w:rsid w:val="003E18E0"/>
    <w:rsid w:val="003E2FEB"/>
    <w:rsid w:val="003E7F98"/>
    <w:rsid w:val="003F39A9"/>
    <w:rsid w:val="00400A39"/>
    <w:rsid w:val="00402C76"/>
    <w:rsid w:val="00403844"/>
    <w:rsid w:val="0040463F"/>
    <w:rsid w:val="004056DA"/>
    <w:rsid w:val="004100D6"/>
    <w:rsid w:val="00410174"/>
    <w:rsid w:val="00410774"/>
    <w:rsid w:val="0042480C"/>
    <w:rsid w:val="00437D83"/>
    <w:rsid w:val="004416A1"/>
    <w:rsid w:val="0044240C"/>
    <w:rsid w:val="00446E6A"/>
    <w:rsid w:val="00447F80"/>
    <w:rsid w:val="00456D7B"/>
    <w:rsid w:val="00460A8A"/>
    <w:rsid w:val="00461856"/>
    <w:rsid w:val="0046361C"/>
    <w:rsid w:val="00463D1B"/>
    <w:rsid w:val="004714B3"/>
    <w:rsid w:val="0048039D"/>
    <w:rsid w:val="00480450"/>
    <w:rsid w:val="004827F8"/>
    <w:rsid w:val="004979A9"/>
    <w:rsid w:val="004A186F"/>
    <w:rsid w:val="004B0452"/>
    <w:rsid w:val="004B0CC7"/>
    <w:rsid w:val="004B2EE6"/>
    <w:rsid w:val="004B3E33"/>
    <w:rsid w:val="004B4CCE"/>
    <w:rsid w:val="004B6F7B"/>
    <w:rsid w:val="004B7524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0741A"/>
    <w:rsid w:val="00510827"/>
    <w:rsid w:val="005143C3"/>
    <w:rsid w:val="005157EB"/>
    <w:rsid w:val="00517DE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E8"/>
    <w:rsid w:val="0055508F"/>
    <w:rsid w:val="00560FE8"/>
    <w:rsid w:val="005706E6"/>
    <w:rsid w:val="00573F5C"/>
    <w:rsid w:val="00580247"/>
    <w:rsid w:val="00581A00"/>
    <w:rsid w:val="005841AF"/>
    <w:rsid w:val="0059067F"/>
    <w:rsid w:val="005A41B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4C01"/>
    <w:rsid w:val="00605A65"/>
    <w:rsid w:val="006062A1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189D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73583"/>
    <w:rsid w:val="00782FF1"/>
    <w:rsid w:val="00783BAF"/>
    <w:rsid w:val="00784F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0CB4"/>
    <w:rsid w:val="008635D8"/>
    <w:rsid w:val="00864A9E"/>
    <w:rsid w:val="00870521"/>
    <w:rsid w:val="008757D4"/>
    <w:rsid w:val="008816C6"/>
    <w:rsid w:val="008848AF"/>
    <w:rsid w:val="0088769B"/>
    <w:rsid w:val="00894ADA"/>
    <w:rsid w:val="00896CED"/>
    <w:rsid w:val="008A3EF5"/>
    <w:rsid w:val="008A4904"/>
    <w:rsid w:val="008B04CB"/>
    <w:rsid w:val="008B3044"/>
    <w:rsid w:val="008B4028"/>
    <w:rsid w:val="008C6583"/>
    <w:rsid w:val="008D48A5"/>
    <w:rsid w:val="008F4097"/>
    <w:rsid w:val="008F4DEA"/>
    <w:rsid w:val="009000D4"/>
    <w:rsid w:val="00901913"/>
    <w:rsid w:val="00902B99"/>
    <w:rsid w:val="00907CA1"/>
    <w:rsid w:val="00911CEB"/>
    <w:rsid w:val="00921CBE"/>
    <w:rsid w:val="009251D8"/>
    <w:rsid w:val="00930070"/>
    <w:rsid w:val="00930D6F"/>
    <w:rsid w:val="00935442"/>
    <w:rsid w:val="00940851"/>
    <w:rsid w:val="00954384"/>
    <w:rsid w:val="00955E20"/>
    <w:rsid w:val="00962C6A"/>
    <w:rsid w:val="0096437C"/>
    <w:rsid w:val="00966506"/>
    <w:rsid w:val="00971D76"/>
    <w:rsid w:val="00971DB3"/>
    <w:rsid w:val="009842E2"/>
    <w:rsid w:val="009922D4"/>
    <w:rsid w:val="00992D8D"/>
    <w:rsid w:val="00994F5F"/>
    <w:rsid w:val="009B1F3A"/>
    <w:rsid w:val="009C03C6"/>
    <w:rsid w:val="009C40FB"/>
    <w:rsid w:val="009C63AC"/>
    <w:rsid w:val="009C67AA"/>
    <w:rsid w:val="009E6C98"/>
    <w:rsid w:val="009F21AF"/>
    <w:rsid w:val="00A04898"/>
    <w:rsid w:val="00A10055"/>
    <w:rsid w:val="00A15FFD"/>
    <w:rsid w:val="00A21047"/>
    <w:rsid w:val="00A2150A"/>
    <w:rsid w:val="00A23FBA"/>
    <w:rsid w:val="00A30586"/>
    <w:rsid w:val="00A407B0"/>
    <w:rsid w:val="00A407D2"/>
    <w:rsid w:val="00A43BEB"/>
    <w:rsid w:val="00A5167E"/>
    <w:rsid w:val="00A518F0"/>
    <w:rsid w:val="00A617A2"/>
    <w:rsid w:val="00A7182B"/>
    <w:rsid w:val="00A804EE"/>
    <w:rsid w:val="00A818F0"/>
    <w:rsid w:val="00A8305C"/>
    <w:rsid w:val="00A93A3C"/>
    <w:rsid w:val="00AA03D4"/>
    <w:rsid w:val="00AB1423"/>
    <w:rsid w:val="00AB3713"/>
    <w:rsid w:val="00AB407C"/>
    <w:rsid w:val="00AB489D"/>
    <w:rsid w:val="00AC026D"/>
    <w:rsid w:val="00AD0345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0CA7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A4CE7"/>
    <w:rsid w:val="00BB08DE"/>
    <w:rsid w:val="00BB6B2D"/>
    <w:rsid w:val="00BC1617"/>
    <w:rsid w:val="00BC380A"/>
    <w:rsid w:val="00BF29E2"/>
    <w:rsid w:val="00BF3D3A"/>
    <w:rsid w:val="00BF614F"/>
    <w:rsid w:val="00C1145C"/>
    <w:rsid w:val="00C11F09"/>
    <w:rsid w:val="00C30A1C"/>
    <w:rsid w:val="00C3276D"/>
    <w:rsid w:val="00C35A60"/>
    <w:rsid w:val="00C41158"/>
    <w:rsid w:val="00C42945"/>
    <w:rsid w:val="00C5038C"/>
    <w:rsid w:val="00C65B84"/>
    <w:rsid w:val="00C723B8"/>
    <w:rsid w:val="00C87DAA"/>
    <w:rsid w:val="00CA2A9D"/>
    <w:rsid w:val="00CA32DC"/>
    <w:rsid w:val="00CA6637"/>
    <w:rsid w:val="00CB01EF"/>
    <w:rsid w:val="00CB0B40"/>
    <w:rsid w:val="00CB0F5F"/>
    <w:rsid w:val="00CE36C0"/>
    <w:rsid w:val="00CE5BAB"/>
    <w:rsid w:val="00CF2746"/>
    <w:rsid w:val="00CF54F8"/>
    <w:rsid w:val="00D00188"/>
    <w:rsid w:val="00D1154C"/>
    <w:rsid w:val="00D16B91"/>
    <w:rsid w:val="00D22BFD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178"/>
    <w:rsid w:val="00DD100B"/>
    <w:rsid w:val="00DD66B0"/>
    <w:rsid w:val="00DE1DAC"/>
    <w:rsid w:val="00DE2E39"/>
    <w:rsid w:val="00DE66D6"/>
    <w:rsid w:val="00E17633"/>
    <w:rsid w:val="00E20363"/>
    <w:rsid w:val="00E251B6"/>
    <w:rsid w:val="00E31913"/>
    <w:rsid w:val="00E42134"/>
    <w:rsid w:val="00E4503F"/>
    <w:rsid w:val="00E51F0E"/>
    <w:rsid w:val="00E54426"/>
    <w:rsid w:val="00E7028A"/>
    <w:rsid w:val="00E776E0"/>
    <w:rsid w:val="00E7792D"/>
    <w:rsid w:val="00E77D68"/>
    <w:rsid w:val="00E8218F"/>
    <w:rsid w:val="00E86C1E"/>
    <w:rsid w:val="00E97C72"/>
    <w:rsid w:val="00EB0F4B"/>
    <w:rsid w:val="00EB5406"/>
    <w:rsid w:val="00EB6AB9"/>
    <w:rsid w:val="00EC1EBD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55D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54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5A31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C6E25-97E7-43C7-BF87-E18525B59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2020-01-31T11:54:00Z</dcterms:created>
  <dcterms:modified xsi:type="dcterms:W3CDTF">2020-01-31T11:54:00Z</dcterms:modified>
</cp:coreProperties>
</file>